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1D304" w14:textId="1F4DC595" w:rsidR="00263834" w:rsidRPr="000A64D8" w:rsidRDefault="00263834" w:rsidP="00263834">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 xml:space="preserve">3GPP TSG-RAN WG1 </w:t>
      </w:r>
      <w:r w:rsidR="00010747">
        <w:rPr>
          <w:rFonts w:ascii="Arial" w:hAnsi="Arial" w:cs="Arial"/>
          <w:b/>
          <w:noProof/>
          <w:sz w:val="24"/>
          <w:szCs w:val="24"/>
        </w:rPr>
        <w:t>RAN1 NR BIS</w:t>
      </w:r>
      <w:r w:rsidRPr="000A64D8">
        <w:rPr>
          <w:rFonts w:ascii="Arial" w:hAnsi="Arial" w:cs="Arial"/>
          <w:b/>
          <w:sz w:val="24"/>
          <w:szCs w:val="24"/>
        </w:rPr>
        <w:tab/>
      </w:r>
      <w:r>
        <w:rPr>
          <w:rFonts w:ascii="Arial" w:hAnsi="Arial" w:cs="Arial"/>
          <w:b/>
          <w:bCs/>
          <w:sz w:val="24"/>
          <w:szCs w:val="24"/>
        </w:rPr>
        <w:t>R1-</w:t>
      </w:r>
      <w:r w:rsidR="00766E2E" w:rsidRPr="004B0EEE">
        <w:rPr>
          <w:rFonts w:ascii="Arial" w:hAnsi="Arial" w:cs="Arial"/>
          <w:b/>
          <w:bCs/>
          <w:sz w:val="24"/>
          <w:szCs w:val="24"/>
        </w:rPr>
        <w:t>1</w:t>
      </w:r>
      <w:r w:rsidR="00766E2E">
        <w:rPr>
          <w:rFonts w:ascii="Arial" w:hAnsi="Arial" w:cs="Arial"/>
          <w:b/>
          <w:bCs/>
          <w:sz w:val="24"/>
          <w:szCs w:val="24"/>
        </w:rPr>
        <w:t>705642</w:t>
      </w:r>
    </w:p>
    <w:p w14:paraId="3DB91439" w14:textId="33F86D60" w:rsidR="00263834" w:rsidRPr="00FD021C" w:rsidRDefault="00010747" w:rsidP="00263834">
      <w:pPr>
        <w:tabs>
          <w:tab w:val="right" w:pos="9630"/>
        </w:tabs>
        <w:spacing w:after="0"/>
        <w:rPr>
          <w:rFonts w:ascii="Arial" w:hAnsi="Arial" w:cs="Arial"/>
          <w:b/>
          <w:sz w:val="24"/>
          <w:szCs w:val="24"/>
        </w:rPr>
      </w:pPr>
      <w:r>
        <w:rPr>
          <w:rFonts w:ascii="Arial" w:hAnsi="Arial" w:cs="Arial"/>
          <w:b/>
          <w:sz w:val="24"/>
          <w:szCs w:val="24"/>
        </w:rPr>
        <w:t>April 03</w:t>
      </w:r>
      <w:r w:rsidRPr="00010747">
        <w:rPr>
          <w:rFonts w:ascii="Arial" w:hAnsi="Arial" w:cs="Arial"/>
          <w:b/>
          <w:sz w:val="24"/>
          <w:szCs w:val="24"/>
          <w:vertAlign w:val="superscript"/>
        </w:rPr>
        <w:t>rd</w:t>
      </w:r>
      <w:r>
        <w:rPr>
          <w:rFonts w:ascii="Arial" w:hAnsi="Arial" w:cs="Arial"/>
          <w:b/>
          <w:sz w:val="24"/>
          <w:szCs w:val="24"/>
        </w:rPr>
        <w:t xml:space="preserve"> – 07</w:t>
      </w:r>
      <w:r w:rsidRPr="00010747">
        <w:rPr>
          <w:rFonts w:ascii="Arial" w:hAnsi="Arial" w:cs="Arial"/>
          <w:b/>
          <w:sz w:val="24"/>
          <w:szCs w:val="24"/>
          <w:vertAlign w:val="superscript"/>
        </w:rPr>
        <w:t>th</w:t>
      </w:r>
      <w:r w:rsidR="00263834">
        <w:rPr>
          <w:rFonts w:ascii="Arial" w:hAnsi="Arial" w:cs="Arial"/>
          <w:b/>
          <w:sz w:val="24"/>
          <w:szCs w:val="24"/>
        </w:rPr>
        <w:t>, 2017</w:t>
      </w:r>
    </w:p>
    <w:p w14:paraId="7EDB819A" w14:textId="64D3FF5D" w:rsidR="00E769DB" w:rsidRPr="00FD021C" w:rsidRDefault="00010747" w:rsidP="00263834">
      <w:pPr>
        <w:spacing w:after="0"/>
        <w:rPr>
          <w:rFonts w:ascii="Arial" w:hAnsi="Arial" w:cs="Arial"/>
          <w:b/>
          <w:sz w:val="24"/>
          <w:szCs w:val="24"/>
        </w:rPr>
      </w:pPr>
      <w:r>
        <w:rPr>
          <w:rFonts w:ascii="Arial" w:hAnsi="Arial" w:cs="Arial"/>
          <w:b/>
          <w:sz w:val="24"/>
          <w:szCs w:val="24"/>
        </w:rPr>
        <w:t>Spokane, US</w:t>
      </w:r>
    </w:p>
    <w:p w14:paraId="4607ED07" w14:textId="77777777" w:rsidR="00E769DB" w:rsidRPr="000A64D8" w:rsidRDefault="00E769DB" w:rsidP="00E769DB">
      <w:pPr>
        <w:pStyle w:val="Footer"/>
        <w:jc w:val="left"/>
        <w:rPr>
          <w:noProof w:val="0"/>
        </w:rPr>
      </w:pPr>
    </w:p>
    <w:p w14:paraId="391CF797" w14:textId="74CF1C2F"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263834">
        <w:rPr>
          <w:rFonts w:ascii="Arial" w:hAnsi="Arial"/>
          <w:sz w:val="24"/>
        </w:rPr>
        <w:t>8.1.8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7FA55548"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10747">
        <w:rPr>
          <w:rFonts w:ascii="Arial" w:hAnsi="Arial"/>
          <w:sz w:val="24"/>
        </w:rPr>
        <w:t>NR LTE Adjacent Channel Coexistence C</w:t>
      </w:r>
      <w:r w:rsidR="00010747" w:rsidRPr="00010747">
        <w:rPr>
          <w:rFonts w:ascii="Arial" w:hAnsi="Arial"/>
          <w:sz w:val="24"/>
        </w:rPr>
        <w:t>onsideration</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232DCC5D" w:rsidR="00E769DB" w:rsidRDefault="00E769DB" w:rsidP="00E769DB">
      <w:pPr>
        <w:rPr>
          <w:szCs w:val="22"/>
        </w:rPr>
      </w:pPr>
      <w:r>
        <w:rPr>
          <w:szCs w:val="22"/>
        </w:rPr>
        <w:t>In the RAN1 #87</w:t>
      </w:r>
      <w:r w:rsidR="00DB3CEE">
        <w:rPr>
          <w:szCs w:val="22"/>
        </w:rPr>
        <w:t>a</w:t>
      </w:r>
      <w:r w:rsidR="00765063">
        <w:rPr>
          <w:szCs w:val="22"/>
        </w:rPr>
        <w:t xml:space="preserve"> meeting</w:t>
      </w:r>
      <w:r>
        <w:rPr>
          <w:szCs w:val="22"/>
        </w:rPr>
        <w:t xml:space="preserve">, NR LTE </w:t>
      </w:r>
      <w:r w:rsidR="00010747">
        <w:rPr>
          <w:szCs w:val="22"/>
        </w:rPr>
        <w:t xml:space="preserve">adjacent channel </w:t>
      </w:r>
      <w:r>
        <w:rPr>
          <w:szCs w:val="22"/>
        </w:rPr>
        <w:t>coexistence has been discussed with the following agreement</w:t>
      </w:r>
      <w:r w:rsidR="00010747">
        <w:rPr>
          <w:szCs w:val="22"/>
        </w:rPr>
        <w:t>s</w:t>
      </w:r>
      <w:r>
        <w:rPr>
          <w:szCs w:val="22"/>
        </w:rPr>
        <w:t xml:space="preserve"> </w:t>
      </w:r>
      <w:r>
        <w:rPr>
          <w:szCs w:val="22"/>
        </w:rPr>
        <w:fldChar w:fldCharType="begin"/>
      </w:r>
      <w:r>
        <w:rPr>
          <w:szCs w:val="22"/>
        </w:rPr>
        <w:instrText xml:space="preserve"> REF _Ref458724461 \r \h  \* MERGEFORMAT </w:instrText>
      </w:r>
      <w:r>
        <w:rPr>
          <w:szCs w:val="22"/>
        </w:rPr>
      </w:r>
      <w:r>
        <w:rPr>
          <w:szCs w:val="22"/>
        </w:rPr>
        <w:fldChar w:fldCharType="separate"/>
      </w:r>
      <w:r>
        <w:rPr>
          <w:szCs w:val="22"/>
        </w:rPr>
        <w:t>[1</w:t>
      </w:r>
      <w:r w:rsidR="00EB323F">
        <w:rPr>
          <w:szCs w:val="22"/>
        </w:rPr>
        <w:t>]</w:t>
      </w:r>
      <w:r>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1A3E64AF"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UL-DL configurations 0,1,2,3,4,5 in unpaired spectrum</w:t>
      </w:r>
      <w:r w:rsidRPr="009568C4">
        <w:t xml:space="preserve">  </w:t>
      </w:r>
    </w:p>
    <w:p w14:paraId="66A944A5"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FFS detailed mechanism</w:t>
      </w:r>
    </w:p>
    <w:p w14:paraId="06BB5B31"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all the special subframe configurations in unpaired spectrum</w:t>
      </w:r>
    </w:p>
    <w:p w14:paraId="5CA613D5" w14:textId="77777777" w:rsidR="00D252C3" w:rsidRPr="009568C4" w:rsidRDefault="00D252C3" w:rsidP="00D252C3">
      <w:pPr>
        <w:numPr>
          <w:ilvl w:val="0"/>
          <w:numId w:val="25"/>
        </w:numPr>
        <w:overflowPunct/>
        <w:autoSpaceDE/>
        <w:autoSpaceDN/>
        <w:adjustRightInd/>
        <w:spacing w:after="0"/>
        <w:textAlignment w:val="auto"/>
      </w:pPr>
      <w:r w:rsidRPr="009568C4">
        <w:t>Notes:</w:t>
      </w:r>
    </w:p>
    <w:p w14:paraId="6A53B296" w14:textId="77777777" w:rsidR="00D252C3" w:rsidRPr="009568C4" w:rsidRDefault="00D252C3" w:rsidP="00D252C3">
      <w:pPr>
        <w:numPr>
          <w:ilvl w:val="1"/>
          <w:numId w:val="25"/>
        </w:numPr>
        <w:overflowPunct/>
        <w:autoSpaceDE/>
        <w:autoSpaceDN/>
        <w:adjustRightInd/>
        <w:spacing w:after="0"/>
        <w:textAlignment w:val="auto"/>
      </w:pPr>
      <w:r w:rsidRPr="009568C4">
        <w:t>The above bullets does not necessarily imply that two or more frame structures are to be defined for NR</w:t>
      </w:r>
    </w:p>
    <w:p w14:paraId="27F70706" w14:textId="77777777" w:rsidR="00D252C3" w:rsidRPr="009568C4" w:rsidRDefault="00D252C3" w:rsidP="00D252C3">
      <w:pPr>
        <w:numPr>
          <w:ilvl w:val="1"/>
          <w:numId w:val="25"/>
        </w:numPr>
        <w:overflowPunct/>
        <w:autoSpaceDE/>
        <w:autoSpaceDN/>
        <w:adjustRightInd/>
        <w:spacing w:after="0"/>
        <w:textAlignment w:val="auto"/>
      </w:pPr>
      <w:r w:rsidRPr="009568C4">
        <w:t>The wording “efficient” in the above two bullets does not imply exact alignment of configurations</w:t>
      </w:r>
    </w:p>
    <w:p w14:paraId="4AD5458C"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RAN1 has agreed the following</w:t>
      </w:r>
    </w:p>
    <w:p w14:paraId="6F23ABFD" w14:textId="72D9F9ED" w:rsidR="00E769DB" w:rsidRPr="00D252C3" w:rsidRDefault="00D252C3" w:rsidP="00D252C3">
      <w:pPr>
        <w:numPr>
          <w:ilvl w:val="0"/>
          <w:numId w:val="25"/>
        </w:numPr>
        <w:overflowPunct/>
        <w:autoSpaceDE/>
        <w:autoSpaceDN/>
        <w:adjustRightInd/>
        <w:spacing w:after="0"/>
        <w:textAlignment w:val="auto"/>
        <w:rPr>
          <w:rFonts w:eastAsia="MS Mincho"/>
          <w:lang w:eastAsia="ja-JP"/>
        </w:rPr>
      </w:pPr>
      <w:r w:rsidRPr="009568C4">
        <w:rPr>
          <w:rFonts w:hint="eastAsia"/>
        </w:rPr>
        <w:t>Design at least one semi-statically assigned DL/UL transmission direction configuration for NR that avoids DL/UL interference with at least one LTE TDD DL/UL configuration and special subframe configuration</w:t>
      </w:r>
    </w:p>
    <w:p w14:paraId="34726F8B" w14:textId="77777777" w:rsidR="00D252C3" w:rsidRDefault="00D252C3" w:rsidP="00D252C3">
      <w:pPr>
        <w:overflowPunct/>
        <w:autoSpaceDE/>
        <w:autoSpaceDN/>
        <w:adjustRightInd/>
        <w:spacing w:after="0"/>
        <w:ind w:left="360"/>
        <w:textAlignment w:val="auto"/>
      </w:pPr>
    </w:p>
    <w:p w14:paraId="393EA744" w14:textId="05F4AB31" w:rsidR="00E769DB" w:rsidRDefault="00E769DB" w:rsidP="00E769DB">
      <w:pPr>
        <w:overflowPunct/>
        <w:autoSpaceDE/>
        <w:autoSpaceDN/>
        <w:adjustRightInd/>
        <w:spacing w:after="0"/>
        <w:textAlignment w:val="auto"/>
        <w:rPr>
          <w:szCs w:val="22"/>
        </w:rPr>
      </w:pPr>
      <w:r>
        <w:rPr>
          <w:szCs w:val="22"/>
        </w:rPr>
        <w:t xml:space="preserve">In this contribution, we </w:t>
      </w:r>
      <w:r w:rsidR="00D252C3">
        <w:rPr>
          <w:szCs w:val="22"/>
        </w:rPr>
        <w:t xml:space="preserve">analyze </w:t>
      </w:r>
      <w:r w:rsidR="00010747">
        <w:rPr>
          <w:szCs w:val="22"/>
        </w:rPr>
        <w:t>requirements for efficient adjacent channel</w:t>
      </w:r>
      <w:r w:rsidR="00892F05">
        <w:rPr>
          <w:szCs w:val="22"/>
        </w:rPr>
        <w:t xml:space="preserve"> NR LTE</w:t>
      </w:r>
      <w:r w:rsidR="00010747">
        <w:rPr>
          <w:szCs w:val="22"/>
        </w:rPr>
        <w:t xml:space="preserve"> co-existence</w:t>
      </w:r>
      <w:r w:rsidR="00D252C3">
        <w:rPr>
          <w:szCs w:val="22"/>
        </w:rPr>
        <w:t xml:space="preserve">. </w:t>
      </w:r>
    </w:p>
    <w:p w14:paraId="4910E374" w14:textId="37C376EE" w:rsidR="00E769DB" w:rsidRDefault="00DB3CEE" w:rsidP="00E769DB">
      <w:pPr>
        <w:pStyle w:val="Heading1"/>
      </w:pPr>
      <w:r>
        <w:t>Motivation</w:t>
      </w:r>
      <w:r w:rsidR="00E769DB">
        <w:t xml:space="preserve"> for NR LTE </w:t>
      </w:r>
      <w:r w:rsidR="00212D70">
        <w:t xml:space="preserve">Adjacent Channel </w:t>
      </w:r>
      <w:r w:rsidR="00E769DB">
        <w:t>Coexistence</w:t>
      </w:r>
    </w:p>
    <w:p w14:paraId="27F2BC6C" w14:textId="23B8C05D" w:rsidR="00E769DB" w:rsidRDefault="00E769DB" w:rsidP="00E769DB">
      <w:pPr>
        <w:rPr>
          <w:lang w:val="en-GB"/>
        </w:rPr>
      </w:pPr>
      <w:r>
        <w:rPr>
          <w:lang w:val="en-GB"/>
        </w:rPr>
        <w:t xml:space="preserve">NR deployments are likely to happen across a wide variety of spectrums. In some cases, with the introduction of new frequency bands, there will be </w:t>
      </w:r>
      <w:r w:rsidR="007A4A51">
        <w:rPr>
          <w:lang w:val="en-GB"/>
        </w:rPr>
        <w:t xml:space="preserve">Greenfield </w:t>
      </w:r>
      <w:r>
        <w:rPr>
          <w:lang w:val="en-GB"/>
        </w:rPr>
        <w:t xml:space="preserve">deployments with no requirements related to co-existence with other technologies nearby. These deployments would have the most flexibility in terms of NR deployment options and should be able to exploit all the benefits NR has to offer such as low latency, ultra-reliability, adaptation to varying DL/UL traffic demand, etc. </w:t>
      </w:r>
    </w:p>
    <w:p w14:paraId="26334890" w14:textId="2281A8FF" w:rsidR="00E769DB" w:rsidRDefault="00E769DB" w:rsidP="00E769DB">
      <w:pPr>
        <w:rPr>
          <w:lang w:val="en-GB"/>
        </w:rPr>
      </w:pPr>
      <w:r>
        <w:rPr>
          <w:lang w:val="en-GB"/>
        </w:rPr>
        <w:t xml:space="preserve">On the other hand, there is also a need to gradually migrate existing LTE spectrum resources to NR as device penetration increases. </w:t>
      </w:r>
      <w:r w:rsidR="00CE0051">
        <w:rPr>
          <w:lang w:val="en-GB"/>
        </w:rPr>
        <w:t>Meanwhile, operator</w:t>
      </w:r>
      <w:r w:rsidR="00D05666">
        <w:rPr>
          <w:lang w:val="en-GB"/>
        </w:rPr>
        <w:t>s</w:t>
      </w:r>
      <w:r w:rsidR="00CE0051">
        <w:rPr>
          <w:lang w:val="en-GB"/>
        </w:rPr>
        <w:t xml:space="preserve"> may also </w:t>
      </w:r>
      <w:r w:rsidR="00D05666">
        <w:rPr>
          <w:lang w:val="en-GB"/>
        </w:rPr>
        <w:t xml:space="preserve">have </w:t>
      </w:r>
      <w:r w:rsidR="00CE0051">
        <w:rPr>
          <w:lang w:val="en-GB"/>
        </w:rPr>
        <w:t>spectrum limitation</w:t>
      </w:r>
      <w:r w:rsidR="00D05666">
        <w:rPr>
          <w:lang w:val="en-GB"/>
        </w:rPr>
        <w:t>s</w:t>
      </w:r>
      <w:r w:rsidR="00CE0051">
        <w:rPr>
          <w:lang w:val="en-GB"/>
        </w:rPr>
        <w:t xml:space="preserve"> in terms of NR deployment. Those factors </w:t>
      </w:r>
      <w:r w:rsidR="00651570">
        <w:rPr>
          <w:lang w:val="en-GB"/>
        </w:rPr>
        <w:t>w</w:t>
      </w:r>
      <w:r>
        <w:rPr>
          <w:lang w:val="en-GB"/>
        </w:rPr>
        <w:t xml:space="preserve">ould mean that NR deployments could happen in the same band as LTE operation, which necessitates NR design to be flexible enough to co-exist with LTE such that legacy LTE devices </w:t>
      </w:r>
      <w:r w:rsidR="008D5630">
        <w:rPr>
          <w:lang w:val="en-GB"/>
        </w:rPr>
        <w:t xml:space="preserve">operations </w:t>
      </w:r>
      <w:r>
        <w:rPr>
          <w:lang w:val="en-GB"/>
        </w:rPr>
        <w:t>are</w:t>
      </w:r>
      <w:r w:rsidR="008D5630">
        <w:rPr>
          <w:lang w:val="en-GB"/>
        </w:rPr>
        <w:t xml:space="preserve">, ideally, </w:t>
      </w:r>
      <w:r>
        <w:rPr>
          <w:lang w:val="en-GB"/>
        </w:rPr>
        <w:t>not impacted by the introduction of NR.</w:t>
      </w:r>
      <w:r w:rsidRPr="002014BF">
        <w:rPr>
          <w:lang w:val="en-GB"/>
        </w:rPr>
        <w:t xml:space="preserve"> </w:t>
      </w:r>
      <w:r>
        <w:rPr>
          <w:lang w:val="en-GB"/>
        </w:rPr>
        <w:t>However, the NR design must not become too complicated in order to allow for coexistence with LTE</w:t>
      </w:r>
      <w:r w:rsidR="007C230D">
        <w:rPr>
          <w:lang w:val="en-GB"/>
        </w:rPr>
        <w:t>. Allowing very dynamic NR and LTE coexistence will not only complicate the NR design and cause unnecessary work load</w:t>
      </w:r>
      <w:r>
        <w:rPr>
          <w:lang w:val="en-GB"/>
        </w:rPr>
        <w:t xml:space="preserve"> </w:t>
      </w:r>
      <w:r w:rsidR="007C230D">
        <w:rPr>
          <w:lang w:val="en-GB"/>
        </w:rPr>
        <w:t xml:space="preserve">to the initial NR standard release, but more importantly, it can </w:t>
      </w:r>
      <w:r w:rsidR="00F95F13">
        <w:rPr>
          <w:lang w:val="en-GB"/>
        </w:rPr>
        <w:t xml:space="preserve">also </w:t>
      </w:r>
      <w:r w:rsidR="007C230D">
        <w:rPr>
          <w:lang w:val="en-GB"/>
        </w:rPr>
        <w:t>significantly impact the NR performance in terms of latency, traff</w:t>
      </w:r>
      <w:r w:rsidR="00C830A2">
        <w:rPr>
          <w:lang w:val="en-GB"/>
        </w:rPr>
        <w:t>ic adaptation, etc. Meanwhile,</w:t>
      </w:r>
      <w:r>
        <w:rPr>
          <w:lang w:val="en-GB"/>
        </w:rPr>
        <w:t xml:space="preserve"> the need for the coexistence mechanisms will likely diminish over time as legacy services get replaced with the newer services.</w:t>
      </w:r>
      <w:bookmarkStart w:id="1" w:name="_GoBack"/>
      <w:bookmarkEnd w:id="1"/>
    </w:p>
    <w:p w14:paraId="48A9126A" w14:textId="19343D5C" w:rsidR="00EB7F28" w:rsidRDefault="00EB7F28" w:rsidP="00EB7F28">
      <w:pPr>
        <w:pStyle w:val="Heading1"/>
      </w:pPr>
      <w:r>
        <w:t>NR LTE Adjacent Channel Coexistence Requirements</w:t>
      </w:r>
    </w:p>
    <w:p w14:paraId="7EBBED3B" w14:textId="108B2A94" w:rsidR="008A00D1" w:rsidRDefault="00E769DB" w:rsidP="00E769DB">
      <w:pPr>
        <w:rPr>
          <w:lang w:val="en-GB"/>
        </w:rPr>
      </w:pPr>
      <w:r>
        <w:rPr>
          <w:lang w:val="en-GB"/>
        </w:rPr>
        <w:t xml:space="preserve">In the case of paired spectrum deployments (FDD), adjacent NR and LTE operation is always in the same uplink or downlink direction whether NR and LTE belong to the same operator or different operators. Therefore there are no concerns </w:t>
      </w:r>
      <w:r>
        <w:rPr>
          <w:lang w:val="en-GB"/>
        </w:rPr>
        <w:lastRenderedPageBreak/>
        <w:t>about cross interference between uplink and downlink</w:t>
      </w:r>
      <w:r w:rsidR="00B26D68">
        <w:rPr>
          <w:lang w:val="en-GB"/>
        </w:rPr>
        <w:t xml:space="preserve"> transmissions</w:t>
      </w:r>
      <w:r>
        <w:rPr>
          <w:lang w:val="en-GB"/>
        </w:rPr>
        <w:t xml:space="preserve">. NR signal leaking into the adjacent LTE channel could be of concern, and therefore needs to be regulated through RAN4 requirements on ACLR (adjacent channel leakage ratio). </w:t>
      </w:r>
      <w:r w:rsidR="005175F7">
        <w:rPr>
          <w:lang w:val="en-GB"/>
        </w:rPr>
        <w:t>In case of NR and LTE using different subcarrier spacing, additional guard band may be needed to limit adjacent channel interference.</w:t>
      </w:r>
    </w:p>
    <w:p w14:paraId="2F05C183" w14:textId="77777777" w:rsidR="00765063" w:rsidRDefault="00E769DB" w:rsidP="009C299D">
      <w:pPr>
        <w:rPr>
          <w:lang w:val="en-GB"/>
        </w:rPr>
      </w:pPr>
      <w:r>
        <w:rPr>
          <w:lang w:val="en-GB"/>
        </w:rPr>
        <w:t>In the case of TDD deployments, one of the main causes of concern is cross interference</w:t>
      </w:r>
      <w:r w:rsidR="00B26D68">
        <w:rPr>
          <w:lang w:val="en-GB"/>
        </w:rPr>
        <w:t xml:space="preserve"> between NR and LTE</w:t>
      </w:r>
      <w:r>
        <w:rPr>
          <w:lang w:val="en-GB"/>
        </w:rPr>
        <w:t xml:space="preserve">. If the NR network performs a downlink transmission while the LTE network performs an uplink transmission or vice versa, there can be cross link interference between LTE and NR, especially from DL transmission to UL reception. To ensure </w:t>
      </w:r>
      <w:r w:rsidR="00B26D68">
        <w:rPr>
          <w:lang w:val="en-GB"/>
        </w:rPr>
        <w:t xml:space="preserve">efficient </w:t>
      </w:r>
      <w:r>
        <w:rPr>
          <w:lang w:val="en-GB"/>
        </w:rPr>
        <w:t>NR</w:t>
      </w:r>
      <w:r w:rsidR="00B26D68">
        <w:rPr>
          <w:lang w:val="en-GB"/>
        </w:rPr>
        <w:t xml:space="preserve"> LTE</w:t>
      </w:r>
      <w:r>
        <w:rPr>
          <w:lang w:val="en-GB"/>
        </w:rPr>
        <w:t xml:space="preserve"> adjacent channel/band coexistence, NR slot structure can be configured in a manner that the direction of transmission is aligned with the LTE network. </w:t>
      </w:r>
      <w:r w:rsidR="00EA13D9">
        <w:rPr>
          <w:lang w:val="en-GB"/>
        </w:rPr>
        <w:t xml:space="preserve">This type of co-existence would be required not only within the same operator, but also across different operators that operate in adjacent spectrum. </w:t>
      </w:r>
    </w:p>
    <w:p w14:paraId="7EE009C6" w14:textId="4ED84F79" w:rsidR="009C299D" w:rsidRDefault="009C299D" w:rsidP="009C299D">
      <w:pPr>
        <w:rPr>
          <w:lang w:val="en-GB"/>
        </w:rPr>
      </w:pPr>
      <w:r>
        <w:rPr>
          <w:lang w:val="en-GB"/>
        </w:rPr>
        <w:t xml:space="preserve">Alignment of transmission direction between LTE and NR does not impact the LTE timeline, therefore does not degrade LTE latency. On the other hand, NR operation is somewhat restricted to match the LTE direction. Therefore, the NR latency performance may not be on par with a Greenfield NR deployment utilizing </w:t>
      </w:r>
      <w:r w:rsidR="00CF5771">
        <w:rPr>
          <w:lang w:val="en-GB"/>
        </w:rPr>
        <w:t xml:space="preserve">short slot duration, or even </w:t>
      </w:r>
      <w:r>
        <w:rPr>
          <w:lang w:val="en-GB"/>
        </w:rPr>
        <w:t xml:space="preserve">self-contained slot structure. </w:t>
      </w:r>
    </w:p>
    <w:p w14:paraId="0422A587" w14:textId="0FF914A1" w:rsidR="00EB7F28" w:rsidRDefault="00EB7F28" w:rsidP="00EB7F28">
      <w:pPr>
        <w:pStyle w:val="Heading2"/>
      </w:pPr>
      <w:r>
        <w:t>NR Slot Structure</w:t>
      </w:r>
    </w:p>
    <w:p w14:paraId="57E42B93" w14:textId="19102BB4" w:rsidR="00212D70" w:rsidRDefault="00E769DB" w:rsidP="00E769DB">
      <w:pPr>
        <w:rPr>
          <w:lang w:val="en-GB"/>
        </w:rPr>
      </w:pPr>
      <w:r>
        <w:rPr>
          <w:lang w:val="en-GB"/>
        </w:rPr>
        <w:t xml:space="preserve">LTE network can be configured with one of 7 different TDD configurations that define the frame structure. Furthermore, there are 10 different options for the special subframe </w:t>
      </w:r>
      <w:r w:rsidR="006D4F72">
        <w:rPr>
          <w:lang w:val="en-GB"/>
        </w:rPr>
        <w:t xml:space="preserve">(SSF) </w:t>
      </w:r>
      <w:r>
        <w:rPr>
          <w:lang w:val="en-GB"/>
        </w:rPr>
        <w:t xml:space="preserve">configuration. </w:t>
      </w:r>
      <w:r w:rsidR="00212D70">
        <w:rPr>
          <w:lang w:val="en-GB"/>
        </w:rPr>
        <w:t>Earlier RAN1 agreement was to ensure efficient coexistence with TDD configurations 0</w:t>
      </w:r>
      <w:proofErr w:type="gramStart"/>
      <w:r w:rsidR="00212D70">
        <w:rPr>
          <w:lang w:val="en-GB"/>
        </w:rPr>
        <w:t>,1,2,3,4</w:t>
      </w:r>
      <w:proofErr w:type="gramEnd"/>
      <w:r w:rsidR="00212D70">
        <w:rPr>
          <w:lang w:val="en-GB"/>
        </w:rPr>
        <w:t xml:space="preserve"> and 5 as well as all possible special subframe configurations</w:t>
      </w:r>
      <w:r w:rsidR="00B01821">
        <w:rPr>
          <w:lang w:val="en-GB"/>
        </w:rPr>
        <w:t xml:space="preserve"> </w:t>
      </w:r>
      <w:r w:rsidR="00B01821">
        <w:rPr>
          <w:lang w:val="en-GB"/>
        </w:rPr>
        <w:fldChar w:fldCharType="begin"/>
      </w:r>
      <w:r w:rsidR="00B01821">
        <w:rPr>
          <w:lang w:val="en-GB"/>
        </w:rPr>
        <w:instrText xml:space="preserve"> REF _Ref477859346 \r \h </w:instrText>
      </w:r>
      <w:r w:rsidR="00B01821">
        <w:rPr>
          <w:lang w:val="en-GB"/>
        </w:rPr>
      </w:r>
      <w:r w:rsidR="00B01821">
        <w:rPr>
          <w:lang w:val="en-GB"/>
        </w:rPr>
        <w:fldChar w:fldCharType="separate"/>
      </w:r>
      <w:r w:rsidR="00B01821">
        <w:rPr>
          <w:lang w:val="en-GB"/>
        </w:rPr>
        <w:t>[1]</w:t>
      </w:r>
      <w:r w:rsidR="00B01821">
        <w:rPr>
          <w:lang w:val="en-GB"/>
        </w:rPr>
        <w:fldChar w:fldCharType="end"/>
      </w:r>
      <w:r w:rsidR="00212D70">
        <w:rPr>
          <w:lang w:val="en-GB"/>
        </w:rPr>
        <w:t xml:space="preserve">. </w:t>
      </w:r>
      <w:r>
        <w:rPr>
          <w:lang w:val="en-GB"/>
        </w:rPr>
        <w:t xml:space="preserve">The NR frame structure design can be flexible enough to create alignment in direction between LTE and NR by arranging one or more NR slots to fit in the same time duration as an LTE subframe. </w:t>
      </w:r>
    </w:p>
    <w:p w14:paraId="43918C1D" w14:textId="6EDEBD2D" w:rsidR="00E769DB" w:rsidRDefault="00B01821" w:rsidP="00E769DB">
      <w:pPr>
        <w:rPr>
          <w:lang w:val="en-GB"/>
        </w:rPr>
      </w:pPr>
      <w:r>
        <w:rPr>
          <w:lang w:val="en-GB"/>
        </w:rPr>
        <w:t>For example, one or more DL-only</w:t>
      </w:r>
      <w:r w:rsidR="00E769DB">
        <w:rPr>
          <w:lang w:val="en-GB"/>
        </w:rPr>
        <w:t xml:space="preserve"> NR slots </w:t>
      </w:r>
      <w:r>
        <w:rPr>
          <w:lang w:val="en-GB"/>
        </w:rPr>
        <w:t>(</w:t>
      </w:r>
      <w:r w:rsidR="00E769DB">
        <w:rPr>
          <w:lang w:val="en-GB"/>
        </w:rPr>
        <w:t>with no uplink symbols</w:t>
      </w:r>
      <w:r>
        <w:rPr>
          <w:lang w:val="en-GB"/>
        </w:rPr>
        <w:t>)</w:t>
      </w:r>
      <w:r w:rsidR="00E769DB">
        <w:rPr>
          <w:lang w:val="en-GB"/>
        </w:rPr>
        <w:t xml:space="preserve"> can be aligned with an LTE D subframe. Similarly, one or more </w:t>
      </w:r>
      <w:r>
        <w:rPr>
          <w:lang w:val="en-GB"/>
        </w:rPr>
        <w:t xml:space="preserve">UL-only </w:t>
      </w:r>
      <w:r w:rsidR="00E769DB">
        <w:rPr>
          <w:lang w:val="en-GB"/>
        </w:rPr>
        <w:t xml:space="preserve">NR slots </w:t>
      </w:r>
      <w:r>
        <w:rPr>
          <w:lang w:val="en-GB"/>
        </w:rPr>
        <w:t>(</w:t>
      </w:r>
      <w:r w:rsidR="00E769DB">
        <w:rPr>
          <w:lang w:val="en-GB"/>
        </w:rPr>
        <w:t>with no downlink symbols</w:t>
      </w:r>
      <w:r>
        <w:rPr>
          <w:lang w:val="en-GB"/>
        </w:rPr>
        <w:t>)</w:t>
      </w:r>
      <w:r w:rsidR="00E769DB">
        <w:rPr>
          <w:lang w:val="en-GB"/>
        </w:rPr>
        <w:t xml:space="preserve"> can be aligned with an LTE U subframe</w:t>
      </w:r>
      <w:r>
        <w:rPr>
          <w:lang w:val="en-GB"/>
        </w:rPr>
        <w:t xml:space="preserve"> (</w:t>
      </w:r>
      <w:r>
        <w:rPr>
          <w:lang w:val="en-GB"/>
        </w:rPr>
        <w:fldChar w:fldCharType="begin"/>
      </w:r>
      <w:r>
        <w:rPr>
          <w:lang w:val="en-GB"/>
        </w:rPr>
        <w:instrText xml:space="preserve"> REF _Ref477867511 \h </w:instrText>
      </w:r>
      <w:r>
        <w:rPr>
          <w:lang w:val="en-GB"/>
        </w:rPr>
      </w:r>
      <w:r>
        <w:rPr>
          <w:lang w:val="en-GB"/>
        </w:rPr>
        <w:fldChar w:fldCharType="separate"/>
      </w:r>
      <w:r>
        <w:t xml:space="preserve">Figure </w:t>
      </w:r>
      <w:r>
        <w:rPr>
          <w:noProof/>
        </w:rPr>
        <w:t>1</w:t>
      </w:r>
      <w:r>
        <w:rPr>
          <w:lang w:val="en-GB"/>
        </w:rPr>
        <w:fldChar w:fldCharType="end"/>
      </w:r>
      <w:r>
        <w:rPr>
          <w:lang w:val="en-GB"/>
        </w:rPr>
        <w:t>)</w:t>
      </w:r>
      <w:r w:rsidR="00E769DB">
        <w:rPr>
          <w:lang w:val="en-GB"/>
        </w:rPr>
        <w:t xml:space="preserve">. </w:t>
      </w:r>
    </w:p>
    <w:p w14:paraId="10AF9FD2" w14:textId="6DCA5C9C" w:rsidR="00B01821" w:rsidRDefault="00B01821" w:rsidP="00E769DB">
      <w:pPr>
        <w:rPr>
          <w:lang w:val="en-GB"/>
        </w:rPr>
      </w:pPr>
      <w:r w:rsidRPr="00B01821">
        <w:rPr>
          <w:b/>
          <w:u w:val="single"/>
          <w:lang w:val="en-GB"/>
        </w:rPr>
        <w:t>Proposal 1:</w:t>
      </w:r>
      <w:r>
        <w:rPr>
          <w:lang w:val="en-GB"/>
        </w:rPr>
        <w:t xml:space="preserve"> NR DL-only and UL-only slot structures are needed </w:t>
      </w:r>
      <w:r w:rsidR="00765063">
        <w:rPr>
          <w:lang w:val="en-GB"/>
        </w:rPr>
        <w:t xml:space="preserve">for NR TDD operation </w:t>
      </w:r>
      <w:r>
        <w:rPr>
          <w:lang w:val="en-GB"/>
        </w:rPr>
        <w:t>to align with LTE transmission direction for efficient NR-LTE adjacent channel co-existence</w:t>
      </w:r>
      <w:r w:rsidR="00765063">
        <w:rPr>
          <w:lang w:val="en-GB"/>
        </w:rPr>
        <w:t>.</w:t>
      </w:r>
    </w:p>
    <w:p w14:paraId="074824E6" w14:textId="3BB300B3" w:rsidR="00123703" w:rsidRDefault="00EB7F28" w:rsidP="00123703">
      <w:pPr>
        <w:jc w:val="center"/>
        <w:rPr>
          <w:lang w:val="en-GB"/>
        </w:rPr>
      </w:pPr>
      <w:r>
        <w:rPr>
          <w:lang w:val="en-GB"/>
        </w:rPr>
        <w:object w:dxaOrig="15911" w:dyaOrig="5051" w14:anchorId="75BC5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37.25pt" o:ole="">
            <v:imagedata r:id="rId12" o:title=""/>
          </v:shape>
          <o:OLEObject Type="Embed" ProgID="Visio.Drawing.11" ShapeID="_x0000_i1025" DrawAspect="Content" ObjectID="_1551896201" r:id="rId13"/>
        </w:object>
      </w:r>
    </w:p>
    <w:p w14:paraId="2D69F7EB" w14:textId="77777777" w:rsidR="00123703" w:rsidRDefault="00123703" w:rsidP="00123703">
      <w:pPr>
        <w:pStyle w:val="Caption"/>
        <w:jc w:val="center"/>
      </w:pPr>
      <w:bookmarkStart w:id="2" w:name="_Ref477867511"/>
      <w:r>
        <w:t xml:space="preserve">Figure </w:t>
      </w:r>
      <w:r w:rsidR="00A36C2B">
        <w:fldChar w:fldCharType="begin"/>
      </w:r>
      <w:r w:rsidR="00A36C2B">
        <w:instrText xml:space="preserve"> SEQ Figure \* ARABIC </w:instrText>
      </w:r>
      <w:r w:rsidR="00A36C2B">
        <w:fldChar w:fldCharType="separate"/>
      </w:r>
      <w:r>
        <w:rPr>
          <w:noProof/>
        </w:rPr>
        <w:t>1</w:t>
      </w:r>
      <w:r w:rsidR="00A36C2B">
        <w:rPr>
          <w:noProof/>
        </w:rPr>
        <w:fldChar w:fldCharType="end"/>
      </w:r>
      <w:bookmarkEnd w:id="2"/>
      <w:r>
        <w:t>: One or more NR slots aligned with each LTE subframe</w:t>
      </w:r>
    </w:p>
    <w:p w14:paraId="1983599E" w14:textId="42FED67E" w:rsidR="00A81E65" w:rsidRDefault="00B01821" w:rsidP="00B01821">
      <w:pPr>
        <w:rPr>
          <w:lang w:val="en-GB"/>
        </w:rPr>
      </w:pPr>
      <w:r>
        <w:rPr>
          <w:lang w:val="en-GB"/>
        </w:rPr>
        <w:t xml:space="preserve">Alignment with various LTE special subframe </w:t>
      </w:r>
      <w:r w:rsidR="00EB7F28">
        <w:rPr>
          <w:lang w:val="en-GB"/>
        </w:rPr>
        <w:t xml:space="preserve">(SSF) </w:t>
      </w:r>
      <w:r>
        <w:rPr>
          <w:lang w:val="en-GB"/>
        </w:rPr>
        <w:t>configurations may require DL-only and</w:t>
      </w:r>
      <w:r w:rsidR="00940E48">
        <w:rPr>
          <w:lang w:val="en-GB"/>
        </w:rPr>
        <w:t>/or</w:t>
      </w:r>
      <w:r>
        <w:rPr>
          <w:lang w:val="en-GB"/>
        </w:rPr>
        <w:t xml:space="preserve"> UL-only slots with various gap lengths </w:t>
      </w:r>
      <w:r w:rsidR="00940E48">
        <w:rPr>
          <w:lang w:val="en-GB"/>
        </w:rPr>
        <w:t>and/or</w:t>
      </w:r>
      <w:r>
        <w:rPr>
          <w:lang w:val="en-GB"/>
        </w:rPr>
        <w:t xml:space="preserve"> </w:t>
      </w:r>
      <w:r w:rsidR="0036753B">
        <w:rPr>
          <w:lang w:val="en-GB"/>
        </w:rPr>
        <w:t xml:space="preserve">self-contained slots with both DL and UL symbols. Two examples </w:t>
      </w:r>
      <w:r w:rsidR="00EB7F28">
        <w:rPr>
          <w:lang w:val="en-GB"/>
        </w:rPr>
        <w:t xml:space="preserve">are </w:t>
      </w:r>
      <w:r w:rsidR="0036753B">
        <w:rPr>
          <w:lang w:val="en-GB"/>
        </w:rPr>
        <w:t xml:space="preserve">shown below in </w:t>
      </w:r>
      <w:r w:rsidR="0036753B">
        <w:rPr>
          <w:lang w:val="en-GB"/>
        </w:rPr>
        <w:fldChar w:fldCharType="begin"/>
      </w:r>
      <w:r w:rsidR="0036753B">
        <w:rPr>
          <w:lang w:val="en-GB"/>
        </w:rPr>
        <w:instrText xml:space="preserve"> REF _Ref477867709 \h </w:instrText>
      </w:r>
      <w:r w:rsidR="0036753B">
        <w:rPr>
          <w:lang w:val="en-GB"/>
        </w:rPr>
      </w:r>
      <w:r w:rsidR="0036753B">
        <w:rPr>
          <w:lang w:val="en-GB"/>
        </w:rPr>
        <w:fldChar w:fldCharType="separate"/>
      </w:r>
      <w:r w:rsidR="0036753B">
        <w:t xml:space="preserve">Figure </w:t>
      </w:r>
      <w:r w:rsidR="0036753B">
        <w:rPr>
          <w:noProof/>
        </w:rPr>
        <w:t>2</w:t>
      </w:r>
      <w:r w:rsidR="0036753B">
        <w:rPr>
          <w:lang w:val="en-GB"/>
        </w:rPr>
        <w:fldChar w:fldCharType="end"/>
      </w:r>
      <w:r w:rsidR="0036753B">
        <w:rPr>
          <w:lang w:val="en-GB"/>
        </w:rPr>
        <w:t xml:space="preserve"> for LTE SSF configurations 5 and 7. </w:t>
      </w:r>
      <w:r w:rsidR="00EB7F28">
        <w:rPr>
          <w:lang w:val="en-GB"/>
        </w:rPr>
        <w:t>The slot format together with the</w:t>
      </w:r>
      <w:r w:rsidR="00CE3D8B">
        <w:rPr>
          <w:lang w:val="en-GB"/>
        </w:rPr>
        <w:t xml:space="preserve"> required gap duration can be signalled to the UE in DL control. </w:t>
      </w:r>
      <w:r w:rsidR="007A0E7C">
        <w:rPr>
          <w:lang w:val="en-GB"/>
        </w:rPr>
        <w:t xml:space="preserve">It is important to note that slot format can be signalled either using group common PDCCH or UE specific PDCCH. </w:t>
      </w:r>
      <w:r w:rsidR="00F71531">
        <w:rPr>
          <w:lang w:val="en-GB"/>
        </w:rPr>
        <w:t>In case UE specific PDCCH is used, if</w:t>
      </w:r>
      <w:r w:rsidR="00CE3D8B">
        <w:rPr>
          <w:lang w:val="en-GB"/>
        </w:rPr>
        <w:t xml:space="preserve"> a particular slot does not contain any DL control symbols, the slot structure would need to be communicated </w:t>
      </w:r>
      <w:r w:rsidR="00A81E65">
        <w:rPr>
          <w:lang w:val="en-GB"/>
        </w:rPr>
        <w:t xml:space="preserve">to the UEs </w:t>
      </w:r>
      <w:r w:rsidR="00CE3D8B">
        <w:rPr>
          <w:lang w:val="en-GB"/>
        </w:rPr>
        <w:t xml:space="preserve">in </w:t>
      </w:r>
      <w:r w:rsidR="00A81E65">
        <w:rPr>
          <w:lang w:val="en-GB"/>
        </w:rPr>
        <w:t>a</w:t>
      </w:r>
      <w:r w:rsidR="00CE3D8B">
        <w:rPr>
          <w:lang w:val="en-GB"/>
        </w:rPr>
        <w:t xml:space="preserve"> previous slot </w:t>
      </w:r>
      <w:r w:rsidR="00A81E65">
        <w:rPr>
          <w:lang w:val="en-GB"/>
        </w:rPr>
        <w:t>which has DL control symbols. Dynamic signalling of the slot structure is also beneficial for forward compatibility</w:t>
      </w:r>
      <w:r w:rsidR="00EB7F28">
        <w:rPr>
          <w:lang w:val="en-GB"/>
        </w:rPr>
        <w:t xml:space="preserve"> when certain resources have to be blanked</w:t>
      </w:r>
      <w:r w:rsidR="00A81E65">
        <w:rPr>
          <w:lang w:val="en-GB"/>
        </w:rPr>
        <w:t>.</w:t>
      </w:r>
      <w:r w:rsidR="007A738E">
        <w:rPr>
          <w:lang w:val="en-GB"/>
        </w:rPr>
        <w:t xml:space="preserve"> Given that the LTE configuration is static, the slot format pattern for NR can also be semi-statically configured through system information or L3 signalling.</w:t>
      </w:r>
      <w:r w:rsidR="00A81E65">
        <w:rPr>
          <w:lang w:val="en-GB"/>
        </w:rPr>
        <w:t xml:space="preserve"> </w:t>
      </w:r>
    </w:p>
    <w:p w14:paraId="47FEAAE9" w14:textId="6A03BC42" w:rsidR="00B01821" w:rsidRPr="00B01821" w:rsidRDefault="00A81E65" w:rsidP="00B01821">
      <w:r w:rsidRPr="00A81E65">
        <w:rPr>
          <w:b/>
          <w:u w:val="single"/>
          <w:lang w:val="en-GB"/>
        </w:rPr>
        <w:t>Proposal 2:</w:t>
      </w:r>
      <w:r>
        <w:rPr>
          <w:lang w:val="en-GB"/>
        </w:rPr>
        <w:t xml:space="preserve"> In additional to the slot format, gap duration can be dynamically signalled to the UEs, enabling better alignment with the various LTE special subframe configurations.</w:t>
      </w:r>
      <w:r w:rsidR="0036753B">
        <w:rPr>
          <w:lang w:val="en-GB"/>
        </w:rPr>
        <w:t xml:space="preserve"> </w:t>
      </w:r>
    </w:p>
    <w:p w14:paraId="40A5CC16" w14:textId="710C9C95" w:rsidR="00670AF1" w:rsidRDefault="00123703" w:rsidP="00E769DB">
      <w:pPr>
        <w:rPr>
          <w:lang w:val="en-GB"/>
        </w:rPr>
      </w:pPr>
      <w:r>
        <w:rPr>
          <w:lang w:val="en-GB"/>
        </w:rPr>
        <w:object w:dxaOrig="11810" w:dyaOrig="4365" w14:anchorId="0213417B">
          <v:shape id="_x0000_i1026" type="#_x0000_t75" style="width:237.75pt;height:86.25pt" o:ole="">
            <v:imagedata r:id="rId14" o:title=""/>
          </v:shape>
          <o:OLEObject Type="Embed" ProgID="Visio.Drawing.11" ShapeID="_x0000_i1026" DrawAspect="Content" ObjectID="_1551896202" r:id="rId15"/>
        </w:object>
      </w:r>
      <w:r w:rsidR="0036753B">
        <w:rPr>
          <w:lang w:val="en-GB"/>
        </w:rPr>
        <w:object w:dxaOrig="11810" w:dyaOrig="4365" w14:anchorId="78FBDAFA">
          <v:shape id="_x0000_i1027" type="#_x0000_t75" style="width:237.75pt;height:86.25pt" o:ole="">
            <v:imagedata r:id="rId16" o:title=""/>
          </v:shape>
          <o:OLEObject Type="Embed" ProgID="Visio.Drawing.11" ShapeID="_x0000_i1027" DrawAspect="Content" ObjectID="_1551896203" r:id="rId17"/>
        </w:object>
      </w:r>
    </w:p>
    <w:p w14:paraId="7CC36C97" w14:textId="50010DCA" w:rsidR="0036753B" w:rsidRDefault="0036753B" w:rsidP="0036753B">
      <w:pPr>
        <w:pStyle w:val="Caption"/>
        <w:jc w:val="center"/>
      </w:pPr>
      <w:bookmarkStart w:id="3" w:name="_Ref477867709"/>
      <w:r>
        <w:t xml:space="preserve">Figure </w:t>
      </w:r>
      <w:r w:rsidR="00A36C2B">
        <w:fldChar w:fldCharType="begin"/>
      </w:r>
      <w:r w:rsidR="00A36C2B">
        <w:instrText xml:space="preserve"> SEQ Figure \* ARABIC </w:instrText>
      </w:r>
      <w:r w:rsidR="00A36C2B">
        <w:fldChar w:fldCharType="separate"/>
      </w:r>
      <w:r>
        <w:rPr>
          <w:noProof/>
        </w:rPr>
        <w:t>2</w:t>
      </w:r>
      <w:r w:rsidR="00A36C2B">
        <w:rPr>
          <w:noProof/>
        </w:rPr>
        <w:fldChar w:fldCharType="end"/>
      </w:r>
      <w:bookmarkEnd w:id="3"/>
      <w:r>
        <w:t xml:space="preserve">: </w:t>
      </w:r>
      <w:r w:rsidR="007A738E">
        <w:t xml:space="preserve">NR slots aligned with </w:t>
      </w:r>
      <w:r>
        <w:t>LTE</w:t>
      </w:r>
      <w:r w:rsidR="007A738E">
        <w:t xml:space="preserve"> special </w:t>
      </w:r>
      <w:r>
        <w:t>subframe</w:t>
      </w:r>
    </w:p>
    <w:p w14:paraId="2FED4DFF" w14:textId="150DFBDD" w:rsidR="003C1A30" w:rsidRDefault="00873BA7" w:rsidP="00B01821">
      <w:pPr>
        <w:rPr>
          <w:lang w:val="en-GB"/>
        </w:rPr>
      </w:pPr>
      <w:r>
        <w:rPr>
          <w:lang w:val="en-GB"/>
        </w:rPr>
        <w:t xml:space="preserve">Introduction of UL-only NR slots for TDD operation requires UL scheduling information to be sent in prior slots </w:t>
      </w:r>
      <w:r w:rsidR="006D4F72">
        <w:rPr>
          <w:lang w:val="en-GB"/>
        </w:rPr>
        <w:t>that contain</w:t>
      </w:r>
      <w:r>
        <w:rPr>
          <w:lang w:val="en-GB"/>
        </w:rPr>
        <w:t xml:space="preserve"> DL control symbols. </w:t>
      </w:r>
      <w:r w:rsidR="00766E2E">
        <w:rPr>
          <w:lang w:val="en-GB"/>
        </w:rPr>
        <w:t xml:space="preserve">A flexible approach would be to signal the timing relationship between </w:t>
      </w:r>
      <w:r w:rsidR="00766E2E">
        <w:t xml:space="preserve">UL assignment in slot N and the corresponding uplink data transmission in slot N+K2 </w:t>
      </w:r>
      <w:r w:rsidR="006D4F72">
        <w:rPr>
          <w:lang w:val="en-GB"/>
        </w:rPr>
        <w:t xml:space="preserve">together with the grant. If we restrict the focus on NR-LTE co-existence, the LTE TDD and SSF configurations are mostly static. Alternatively, the </w:t>
      </w:r>
      <w:r w:rsidR="003C1A30">
        <w:rPr>
          <w:lang w:val="en-GB"/>
        </w:rPr>
        <w:t xml:space="preserve">pattern for the UL grant/UL transmission timing can be communicated as part of </w:t>
      </w:r>
      <w:r w:rsidR="00C50DD0">
        <w:rPr>
          <w:lang w:val="en-GB"/>
        </w:rPr>
        <w:t>system information or L3 signalling</w:t>
      </w:r>
      <w:r w:rsidR="003C1A30">
        <w:rPr>
          <w:lang w:val="en-GB"/>
        </w:rPr>
        <w:t>.</w:t>
      </w:r>
    </w:p>
    <w:p w14:paraId="3BBDE80C" w14:textId="796EBB89" w:rsidR="00C50DD0" w:rsidRDefault="003C1A30" w:rsidP="00B01821">
      <w:pPr>
        <w:rPr>
          <w:lang w:val="en-GB"/>
        </w:rPr>
      </w:pPr>
      <w:r w:rsidRPr="00C50DD0">
        <w:rPr>
          <w:b/>
          <w:u w:val="single"/>
          <w:lang w:val="en-GB"/>
        </w:rPr>
        <w:t>Proposal 3:</w:t>
      </w:r>
      <w:r>
        <w:rPr>
          <w:lang w:val="en-GB"/>
        </w:rPr>
        <w:t xml:space="preserve"> Consider following options for </w:t>
      </w:r>
      <w:r w:rsidR="00C50DD0">
        <w:rPr>
          <w:lang w:val="en-GB"/>
        </w:rPr>
        <w:t>indicating</w:t>
      </w:r>
      <w:r>
        <w:rPr>
          <w:lang w:val="en-GB"/>
        </w:rPr>
        <w:t xml:space="preserve"> the </w:t>
      </w:r>
      <w:r w:rsidR="00C50DD0">
        <w:rPr>
          <w:lang w:val="en-GB"/>
        </w:rPr>
        <w:t>timing relationship between an UL grant and the corresponding UL transmission:</w:t>
      </w:r>
    </w:p>
    <w:p w14:paraId="48C896FD" w14:textId="12744ACF" w:rsidR="00873BA7" w:rsidRPr="00C50DD0" w:rsidRDefault="00C50DD0" w:rsidP="00C50DD0">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Control information as part of the UL grant</w:t>
      </w:r>
    </w:p>
    <w:p w14:paraId="12669236" w14:textId="663612C8" w:rsidR="00C50DD0" w:rsidRDefault="0018173B" w:rsidP="00C50DD0">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00C50DD0" w:rsidRPr="00C50DD0">
        <w:rPr>
          <w:rFonts w:ascii="Times New Roman" w:hAnsi="Times New Roman"/>
          <w:sz w:val="20"/>
          <w:szCs w:val="20"/>
          <w:lang w:val="en-GB"/>
        </w:rPr>
        <w:t>ystem information or L3 signalling</w:t>
      </w:r>
    </w:p>
    <w:p w14:paraId="56F0B0E7" w14:textId="77777777" w:rsidR="00C50DD0" w:rsidRPr="00C50DD0" w:rsidRDefault="00C50DD0" w:rsidP="00C50DD0">
      <w:pPr>
        <w:pStyle w:val="ListParagraph"/>
        <w:rPr>
          <w:rFonts w:ascii="Times New Roman" w:hAnsi="Times New Roman"/>
          <w:sz w:val="20"/>
          <w:szCs w:val="20"/>
          <w:lang w:val="en-GB"/>
        </w:rPr>
      </w:pPr>
    </w:p>
    <w:p w14:paraId="47217F74" w14:textId="5537D1BF" w:rsidR="00B01821" w:rsidRDefault="003C1A30" w:rsidP="00B01821">
      <w:pPr>
        <w:rPr>
          <w:lang w:val="en-GB"/>
        </w:rPr>
      </w:pPr>
      <w:r>
        <w:rPr>
          <w:lang w:val="en-GB"/>
        </w:rPr>
        <w:t>There will also be many consecutive</w:t>
      </w:r>
      <w:r w:rsidR="00B01821">
        <w:rPr>
          <w:lang w:val="en-GB"/>
        </w:rPr>
        <w:t xml:space="preserve"> </w:t>
      </w:r>
      <w:r>
        <w:rPr>
          <w:lang w:val="en-GB"/>
        </w:rPr>
        <w:t>DL-only NR slots</w:t>
      </w:r>
      <w:r w:rsidR="00B01821">
        <w:rPr>
          <w:lang w:val="en-GB"/>
        </w:rPr>
        <w:t xml:space="preserve"> </w:t>
      </w:r>
      <w:r>
        <w:rPr>
          <w:lang w:val="en-GB"/>
        </w:rPr>
        <w:t>in order to match the downlink LTE symbols (</w:t>
      </w:r>
      <w:r>
        <w:rPr>
          <w:lang w:val="en-GB"/>
        </w:rPr>
        <w:fldChar w:fldCharType="begin"/>
      </w:r>
      <w:r>
        <w:rPr>
          <w:lang w:val="en-GB"/>
        </w:rPr>
        <w:instrText xml:space="preserve"> REF _Ref477867511 \h </w:instrText>
      </w:r>
      <w:r>
        <w:rPr>
          <w:lang w:val="en-GB"/>
        </w:rPr>
      </w:r>
      <w:r>
        <w:rPr>
          <w:lang w:val="en-GB"/>
        </w:rPr>
        <w:fldChar w:fldCharType="separate"/>
      </w:r>
      <w:r>
        <w:t xml:space="preserve">Figure </w:t>
      </w:r>
      <w:r>
        <w:rPr>
          <w:noProof/>
        </w:rPr>
        <w:t>1</w:t>
      </w:r>
      <w:r>
        <w:rPr>
          <w:lang w:val="en-GB"/>
        </w:rPr>
        <w:fldChar w:fldCharType="end"/>
      </w:r>
      <w:r>
        <w:rPr>
          <w:lang w:val="en-GB"/>
        </w:rPr>
        <w:t>). T</w:t>
      </w:r>
      <w:r w:rsidR="00B01821">
        <w:rPr>
          <w:lang w:val="en-GB"/>
        </w:rPr>
        <w:t xml:space="preserve">he corresponding ACK/NACK </w:t>
      </w:r>
      <w:r>
        <w:rPr>
          <w:lang w:val="en-GB"/>
        </w:rPr>
        <w:t xml:space="preserve">bits would need to be multiplexed or bundled and mapped to certain UL control </w:t>
      </w:r>
      <w:r w:rsidR="007A738E">
        <w:rPr>
          <w:lang w:val="en-GB"/>
        </w:rPr>
        <w:t>instances</w:t>
      </w:r>
      <w:r w:rsidR="00B01821">
        <w:rPr>
          <w:lang w:val="en-GB"/>
        </w:rPr>
        <w:t>.</w:t>
      </w:r>
      <w:r w:rsidR="00C50DD0">
        <w:rPr>
          <w:lang w:val="en-GB"/>
        </w:rPr>
        <w:t xml:space="preserve"> The timing relationship between </w:t>
      </w:r>
      <w:r w:rsidR="00766E2E">
        <w:t xml:space="preserve">DL data reception in slot N and corresponding acknowledgment in slot N+K1 </w:t>
      </w:r>
      <w:r w:rsidR="00C50DD0">
        <w:rPr>
          <w:lang w:val="en-GB"/>
        </w:rPr>
        <w:t xml:space="preserve">would also need to be specified. One option is to dynamically signal this </w:t>
      </w:r>
      <w:r w:rsidR="007A738E">
        <w:rPr>
          <w:lang w:val="en-GB"/>
        </w:rPr>
        <w:t>through</w:t>
      </w:r>
      <w:r w:rsidR="00C50DD0">
        <w:rPr>
          <w:lang w:val="en-GB"/>
        </w:rPr>
        <w:t xml:space="preserve"> DL control</w:t>
      </w:r>
      <w:r w:rsidR="0018173B">
        <w:rPr>
          <w:lang w:val="en-GB"/>
        </w:rPr>
        <w:t>, which would also be beneficial in terms of forward compatibility. Another option is to communicate this as part of system information or L3 signalling.</w:t>
      </w:r>
    </w:p>
    <w:p w14:paraId="1D96B51F" w14:textId="59767822" w:rsidR="0018173B" w:rsidRDefault="0018173B" w:rsidP="0018173B">
      <w:pPr>
        <w:rPr>
          <w:lang w:val="en-GB"/>
        </w:rPr>
      </w:pPr>
      <w:r w:rsidRPr="00C50DD0">
        <w:rPr>
          <w:b/>
          <w:u w:val="single"/>
          <w:lang w:val="en-GB"/>
        </w:rPr>
        <w:t>Proposal</w:t>
      </w:r>
      <w:r>
        <w:rPr>
          <w:b/>
          <w:u w:val="single"/>
          <w:lang w:val="en-GB"/>
        </w:rPr>
        <w:t xml:space="preserve"> 4</w:t>
      </w:r>
      <w:r w:rsidRPr="00C50DD0">
        <w:rPr>
          <w:b/>
          <w:u w:val="single"/>
          <w:lang w:val="en-GB"/>
        </w:rPr>
        <w:t>:</w:t>
      </w:r>
      <w:r>
        <w:rPr>
          <w:lang w:val="en-GB"/>
        </w:rPr>
        <w:t xml:space="preserve"> Consider following options for indicating the timing relationship between a DL </w:t>
      </w:r>
      <w:r w:rsidR="00B07164">
        <w:rPr>
          <w:lang w:val="en-GB"/>
        </w:rPr>
        <w:t xml:space="preserve">data reception </w:t>
      </w:r>
      <w:r>
        <w:rPr>
          <w:lang w:val="en-GB"/>
        </w:rPr>
        <w:t>and the corresponding HARQ feedback:</w:t>
      </w:r>
    </w:p>
    <w:p w14:paraId="39AF2294" w14:textId="64A1BE1A" w:rsidR="0018173B" w:rsidRPr="00C50DD0" w:rsidRDefault="0018173B" w:rsidP="0018173B">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 xml:space="preserve">Control information as part of the </w:t>
      </w:r>
      <w:r>
        <w:rPr>
          <w:rFonts w:ascii="Times New Roman" w:hAnsi="Times New Roman"/>
          <w:sz w:val="20"/>
          <w:szCs w:val="20"/>
          <w:lang w:val="en-GB"/>
        </w:rPr>
        <w:t>D</w:t>
      </w:r>
      <w:r w:rsidRPr="00C50DD0">
        <w:rPr>
          <w:rFonts w:ascii="Times New Roman" w:hAnsi="Times New Roman"/>
          <w:sz w:val="20"/>
          <w:szCs w:val="20"/>
          <w:lang w:val="en-GB"/>
        </w:rPr>
        <w:t>L grant</w:t>
      </w:r>
    </w:p>
    <w:p w14:paraId="7019747A" w14:textId="77777777" w:rsidR="0018173B" w:rsidRDefault="0018173B" w:rsidP="0018173B">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Pr="00C50DD0">
        <w:rPr>
          <w:rFonts w:ascii="Times New Roman" w:hAnsi="Times New Roman"/>
          <w:sz w:val="20"/>
          <w:szCs w:val="20"/>
          <w:lang w:val="en-GB"/>
        </w:rPr>
        <w:t>ystem information or L3 signalling</w:t>
      </w:r>
    </w:p>
    <w:p w14:paraId="79FB75DB" w14:textId="77777777" w:rsidR="00F654A1" w:rsidRDefault="00F654A1" w:rsidP="00766E2E">
      <w:pPr>
        <w:rPr>
          <w:lang w:val="en-GB"/>
        </w:rPr>
      </w:pPr>
    </w:p>
    <w:p w14:paraId="5F29BC23" w14:textId="755F9E9F" w:rsidR="00F654A1" w:rsidRDefault="00F654A1" w:rsidP="00766E2E">
      <w:pPr>
        <w:rPr>
          <w:lang w:val="en-GB"/>
        </w:rPr>
      </w:pPr>
      <w:r>
        <w:rPr>
          <w:lang w:val="en-GB"/>
        </w:rPr>
        <w:t>Similarly, we also need to consider the ACK/NAK timing for the UL data reception, i.e. the timing relationship between a</w:t>
      </w:r>
      <w:r w:rsidR="00766E2E">
        <w:rPr>
          <w:lang w:val="en-GB"/>
        </w:rPr>
        <w:t>n</w:t>
      </w:r>
      <w:r>
        <w:rPr>
          <w:lang w:val="en-GB"/>
        </w:rPr>
        <w:t xml:space="preserve"> </w:t>
      </w:r>
      <w:r w:rsidR="00A17BCA">
        <w:rPr>
          <w:lang w:val="en-GB"/>
        </w:rPr>
        <w:t>UL</w:t>
      </w:r>
      <w:r>
        <w:rPr>
          <w:lang w:val="en-GB"/>
        </w:rPr>
        <w:t xml:space="preserve"> data reception and the corresponding HARQ feedback</w:t>
      </w:r>
      <w:r w:rsidR="00A17BCA">
        <w:rPr>
          <w:lang w:val="en-GB"/>
        </w:rPr>
        <w:t xml:space="preserve">. </w:t>
      </w:r>
    </w:p>
    <w:p w14:paraId="113AD961" w14:textId="647D7462" w:rsidR="00F450D8" w:rsidRDefault="00F450D8" w:rsidP="00F450D8">
      <w:pPr>
        <w:rPr>
          <w:lang w:val="en-GB"/>
        </w:rPr>
      </w:pPr>
      <w:r w:rsidRPr="00C50DD0">
        <w:rPr>
          <w:b/>
          <w:u w:val="single"/>
          <w:lang w:val="en-GB"/>
        </w:rPr>
        <w:t>Proposal</w:t>
      </w:r>
      <w:r>
        <w:rPr>
          <w:b/>
          <w:u w:val="single"/>
          <w:lang w:val="en-GB"/>
        </w:rPr>
        <w:t xml:space="preserve"> </w:t>
      </w:r>
      <w:r w:rsidR="00AF5A79">
        <w:rPr>
          <w:b/>
          <w:u w:val="single"/>
          <w:lang w:val="en-GB"/>
        </w:rPr>
        <w:t>5</w:t>
      </w:r>
      <w:r w:rsidRPr="00C50DD0">
        <w:rPr>
          <w:b/>
          <w:u w:val="single"/>
          <w:lang w:val="en-GB"/>
        </w:rPr>
        <w:t>:</w:t>
      </w:r>
      <w:r>
        <w:rPr>
          <w:lang w:val="en-GB"/>
        </w:rPr>
        <w:t xml:space="preserve"> Consider following options for indicating the</w:t>
      </w:r>
      <w:r w:rsidR="00A56E15">
        <w:rPr>
          <w:lang w:val="en-GB"/>
        </w:rPr>
        <w:t xml:space="preserve"> timing relationship between a U</w:t>
      </w:r>
      <w:r>
        <w:rPr>
          <w:lang w:val="en-GB"/>
        </w:rPr>
        <w:t>L data reception and the corresponding HARQ feedback:</w:t>
      </w:r>
    </w:p>
    <w:p w14:paraId="19B20880" w14:textId="77777777" w:rsidR="00F450D8" w:rsidRPr="00C50DD0" w:rsidRDefault="00F450D8" w:rsidP="00F450D8">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 xml:space="preserve">Control information as part of the </w:t>
      </w:r>
      <w:r>
        <w:rPr>
          <w:rFonts w:ascii="Times New Roman" w:hAnsi="Times New Roman"/>
          <w:sz w:val="20"/>
          <w:szCs w:val="20"/>
          <w:lang w:val="en-GB"/>
        </w:rPr>
        <w:t>D</w:t>
      </w:r>
      <w:r w:rsidRPr="00C50DD0">
        <w:rPr>
          <w:rFonts w:ascii="Times New Roman" w:hAnsi="Times New Roman"/>
          <w:sz w:val="20"/>
          <w:szCs w:val="20"/>
          <w:lang w:val="en-GB"/>
        </w:rPr>
        <w:t>L grant</w:t>
      </w:r>
    </w:p>
    <w:p w14:paraId="3E3A72F5" w14:textId="04963D75" w:rsidR="00F450D8" w:rsidRPr="00766E2E" w:rsidRDefault="00F450D8">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Pr="00C50DD0">
        <w:rPr>
          <w:rFonts w:ascii="Times New Roman" w:hAnsi="Times New Roman"/>
          <w:sz w:val="20"/>
          <w:szCs w:val="20"/>
          <w:lang w:val="en-GB"/>
        </w:rPr>
        <w:t>ystem information or L3 signalling</w:t>
      </w:r>
    </w:p>
    <w:p w14:paraId="5D42F24B" w14:textId="77777777" w:rsidR="00E769DB" w:rsidRDefault="00E769DB" w:rsidP="00E769DB">
      <w:pPr>
        <w:pStyle w:val="Heading1"/>
        <w:rPr>
          <w:lang w:eastAsia="zh-CN"/>
        </w:rPr>
      </w:pPr>
      <w:r>
        <w:rPr>
          <w:lang w:eastAsia="zh-CN"/>
        </w:rPr>
        <w:t>Conclusions</w:t>
      </w:r>
    </w:p>
    <w:p w14:paraId="16694F8B" w14:textId="36C1B5F2" w:rsidR="00A25ED0" w:rsidRPr="00766E2E" w:rsidRDefault="00A25ED0" w:rsidP="00766E2E">
      <w:pPr>
        <w:rPr>
          <w:lang w:eastAsia="zh-CN"/>
        </w:rPr>
      </w:pPr>
      <w:r>
        <w:rPr>
          <w:lang w:val="en-GB" w:eastAsia="zh-CN"/>
        </w:rPr>
        <w:t>In this contribution, we focus on the NR design requirement</w:t>
      </w:r>
      <w:r w:rsidR="00D05666">
        <w:rPr>
          <w:lang w:val="en-GB" w:eastAsia="zh-CN"/>
        </w:rPr>
        <w:t>s</w:t>
      </w:r>
      <w:r>
        <w:rPr>
          <w:lang w:val="en-GB" w:eastAsia="zh-CN"/>
        </w:rPr>
        <w:t xml:space="preserve"> in order to coexist with adjacent channel LTE under unpaired spectrum TDD deployment</w:t>
      </w:r>
      <w:r w:rsidR="00D05666">
        <w:rPr>
          <w:lang w:val="en-GB" w:eastAsia="zh-CN"/>
        </w:rPr>
        <w:t>.</w:t>
      </w:r>
      <w:r>
        <w:rPr>
          <w:lang w:val="en-GB" w:eastAsia="zh-CN"/>
        </w:rPr>
        <w:t xml:space="preserve"> </w:t>
      </w:r>
      <w:r w:rsidR="00D05666">
        <w:rPr>
          <w:lang w:val="en-GB" w:eastAsia="zh-CN"/>
        </w:rPr>
        <w:t>O</w:t>
      </w:r>
      <w:r w:rsidR="00EF3F3E">
        <w:rPr>
          <w:lang w:val="en-GB" w:eastAsia="zh-CN"/>
        </w:rPr>
        <w:t>ur proposals are summarized as follows</w:t>
      </w:r>
      <w:r w:rsidR="00D05666">
        <w:rPr>
          <w:lang w:val="en-GB" w:eastAsia="zh-CN"/>
        </w:rPr>
        <w:t>:</w:t>
      </w:r>
    </w:p>
    <w:p w14:paraId="6DDBE93A" w14:textId="58860CB6" w:rsidR="009C299D" w:rsidRDefault="009C299D">
      <w:pPr>
        <w:rPr>
          <w:lang w:val="en-GB"/>
        </w:rPr>
      </w:pPr>
      <w:r w:rsidRPr="00B01821">
        <w:rPr>
          <w:b/>
          <w:u w:val="single"/>
          <w:lang w:val="en-GB"/>
        </w:rPr>
        <w:t>Proposal 1:</w:t>
      </w:r>
      <w:r>
        <w:rPr>
          <w:lang w:val="en-GB"/>
        </w:rPr>
        <w:t xml:space="preserve"> </w:t>
      </w:r>
      <w:r w:rsidR="00765063">
        <w:rPr>
          <w:lang w:val="en-GB"/>
        </w:rPr>
        <w:t>NR DL-only and UL-only slot structures are needed for NR TDD operation to align with LTE transmission direction for efficient NR-LTE adjacent channel co-existence.</w:t>
      </w:r>
    </w:p>
    <w:p w14:paraId="034F585C" w14:textId="77777777" w:rsidR="009C299D" w:rsidRDefault="009C299D">
      <w:pPr>
        <w:rPr>
          <w:lang w:val="en-GB"/>
        </w:rPr>
      </w:pPr>
      <w:r w:rsidRPr="00A81E65">
        <w:rPr>
          <w:b/>
          <w:u w:val="single"/>
          <w:lang w:val="en-GB"/>
        </w:rPr>
        <w:t>Proposal 2:</w:t>
      </w:r>
      <w:r>
        <w:rPr>
          <w:lang w:val="en-GB"/>
        </w:rPr>
        <w:t xml:space="preserve"> In additional to the slot format, gap duration can be dynamically signalled to the UEs, enabling better alignment with the various LTE special subframe configurations. </w:t>
      </w:r>
    </w:p>
    <w:p w14:paraId="61A5D684" w14:textId="77777777" w:rsidR="009C299D" w:rsidRDefault="009C299D" w:rsidP="009C299D">
      <w:pPr>
        <w:rPr>
          <w:lang w:val="en-GB"/>
        </w:rPr>
      </w:pPr>
      <w:r w:rsidRPr="00C50DD0">
        <w:rPr>
          <w:b/>
          <w:u w:val="single"/>
          <w:lang w:val="en-GB"/>
        </w:rPr>
        <w:t>Proposal 3:</w:t>
      </w:r>
      <w:r>
        <w:rPr>
          <w:lang w:val="en-GB"/>
        </w:rPr>
        <w:t xml:space="preserve"> Consider following options for indicating the timing relationship between an UL grant and the corresponding UL transmission:</w:t>
      </w:r>
    </w:p>
    <w:p w14:paraId="5FE015AF" w14:textId="77777777" w:rsidR="009C299D" w:rsidRDefault="009C299D" w:rsidP="009C299D">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Control information as part of the UL grant</w:t>
      </w:r>
    </w:p>
    <w:p w14:paraId="0F7DA168" w14:textId="32ACD04A" w:rsidR="009C299D" w:rsidRDefault="009C299D" w:rsidP="009C299D">
      <w:pPr>
        <w:pStyle w:val="ListParagraph"/>
        <w:numPr>
          <w:ilvl w:val="0"/>
          <w:numId w:val="35"/>
        </w:numPr>
        <w:rPr>
          <w:rFonts w:ascii="Times New Roman" w:hAnsi="Times New Roman"/>
          <w:sz w:val="20"/>
          <w:szCs w:val="20"/>
          <w:lang w:val="en-GB"/>
        </w:rPr>
      </w:pPr>
      <w:r w:rsidRPr="009C299D">
        <w:rPr>
          <w:lang w:val="en-GB"/>
        </w:rPr>
        <w:lastRenderedPageBreak/>
        <w:t>P</w:t>
      </w:r>
      <w:r w:rsidRPr="009C299D">
        <w:rPr>
          <w:rFonts w:ascii="Times New Roman" w:hAnsi="Times New Roman"/>
          <w:sz w:val="20"/>
          <w:szCs w:val="20"/>
          <w:lang w:val="en-GB"/>
        </w:rPr>
        <w:t>attern included in system information or L3 signalling</w:t>
      </w:r>
    </w:p>
    <w:p w14:paraId="37CBF21F" w14:textId="77777777" w:rsidR="00D52CED" w:rsidRDefault="00D52CED" w:rsidP="009C299D">
      <w:pPr>
        <w:rPr>
          <w:b/>
          <w:u w:val="single"/>
          <w:lang w:val="en-GB"/>
        </w:rPr>
      </w:pPr>
    </w:p>
    <w:p w14:paraId="2563215F" w14:textId="77777777" w:rsidR="00596BCE" w:rsidRDefault="00596BCE" w:rsidP="00596BCE">
      <w:pPr>
        <w:rPr>
          <w:lang w:val="en-GB"/>
        </w:rPr>
      </w:pPr>
      <w:r w:rsidRPr="00C50DD0">
        <w:rPr>
          <w:b/>
          <w:u w:val="single"/>
          <w:lang w:val="en-GB"/>
        </w:rPr>
        <w:t>Proposal</w:t>
      </w:r>
      <w:r>
        <w:rPr>
          <w:b/>
          <w:u w:val="single"/>
          <w:lang w:val="en-GB"/>
        </w:rPr>
        <w:t xml:space="preserve"> 4</w:t>
      </w:r>
      <w:r w:rsidRPr="00C50DD0">
        <w:rPr>
          <w:b/>
          <w:u w:val="single"/>
          <w:lang w:val="en-GB"/>
        </w:rPr>
        <w:t>:</w:t>
      </w:r>
      <w:r>
        <w:rPr>
          <w:lang w:val="en-GB"/>
        </w:rPr>
        <w:t xml:space="preserve"> Consider following options for indicating the timing relationship between a DL data reception and the corresponding HARQ feedback:</w:t>
      </w:r>
    </w:p>
    <w:p w14:paraId="6704081C" w14:textId="77777777" w:rsidR="00596BCE" w:rsidRPr="00C50DD0" w:rsidRDefault="00596BCE" w:rsidP="00596BCE">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 xml:space="preserve">Control information as part of the </w:t>
      </w:r>
      <w:r>
        <w:rPr>
          <w:rFonts w:ascii="Times New Roman" w:hAnsi="Times New Roman"/>
          <w:sz w:val="20"/>
          <w:szCs w:val="20"/>
          <w:lang w:val="en-GB"/>
        </w:rPr>
        <w:t>D</w:t>
      </w:r>
      <w:r w:rsidRPr="00C50DD0">
        <w:rPr>
          <w:rFonts w:ascii="Times New Roman" w:hAnsi="Times New Roman"/>
          <w:sz w:val="20"/>
          <w:szCs w:val="20"/>
          <w:lang w:val="en-GB"/>
        </w:rPr>
        <w:t>L grant</w:t>
      </w:r>
    </w:p>
    <w:p w14:paraId="20B808C5" w14:textId="77777777" w:rsidR="00596BCE" w:rsidRDefault="00596BCE" w:rsidP="00596BCE">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Pr="00C50DD0">
        <w:rPr>
          <w:rFonts w:ascii="Times New Roman" w:hAnsi="Times New Roman"/>
          <w:sz w:val="20"/>
          <w:szCs w:val="20"/>
          <w:lang w:val="en-GB"/>
        </w:rPr>
        <w:t>ystem information or L3 signalling</w:t>
      </w:r>
    </w:p>
    <w:p w14:paraId="02E4BB02" w14:textId="77777777" w:rsidR="00D52CED" w:rsidRDefault="00D52CED" w:rsidP="00AF5A79">
      <w:pPr>
        <w:rPr>
          <w:b/>
          <w:u w:val="single"/>
          <w:lang w:val="en-GB"/>
        </w:rPr>
      </w:pPr>
    </w:p>
    <w:p w14:paraId="5654B8C5" w14:textId="77777777" w:rsidR="00AF5A79" w:rsidRDefault="00AF5A79" w:rsidP="00AF5A79">
      <w:pPr>
        <w:rPr>
          <w:lang w:val="en-GB"/>
        </w:rPr>
      </w:pPr>
      <w:r w:rsidRPr="00C50DD0">
        <w:rPr>
          <w:b/>
          <w:u w:val="single"/>
          <w:lang w:val="en-GB"/>
        </w:rPr>
        <w:t>Proposal</w:t>
      </w:r>
      <w:r>
        <w:rPr>
          <w:b/>
          <w:u w:val="single"/>
          <w:lang w:val="en-GB"/>
        </w:rPr>
        <w:t xml:space="preserve"> 5</w:t>
      </w:r>
      <w:r w:rsidRPr="00C50DD0">
        <w:rPr>
          <w:b/>
          <w:u w:val="single"/>
          <w:lang w:val="en-GB"/>
        </w:rPr>
        <w:t>:</w:t>
      </w:r>
      <w:r>
        <w:rPr>
          <w:lang w:val="en-GB"/>
        </w:rPr>
        <w:t xml:space="preserve"> Consider following options for indicating the timing relationship between a UL data reception and the corresponding HARQ feedback:</w:t>
      </w:r>
    </w:p>
    <w:p w14:paraId="0B41486B" w14:textId="77777777" w:rsidR="00AF5A79" w:rsidRPr="00C50DD0" w:rsidRDefault="00AF5A79" w:rsidP="00AF5A79">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 xml:space="preserve">Control information as part of the </w:t>
      </w:r>
      <w:r>
        <w:rPr>
          <w:rFonts w:ascii="Times New Roman" w:hAnsi="Times New Roman"/>
          <w:sz w:val="20"/>
          <w:szCs w:val="20"/>
          <w:lang w:val="en-GB"/>
        </w:rPr>
        <w:t>D</w:t>
      </w:r>
      <w:r w:rsidRPr="00C50DD0">
        <w:rPr>
          <w:rFonts w:ascii="Times New Roman" w:hAnsi="Times New Roman"/>
          <w:sz w:val="20"/>
          <w:szCs w:val="20"/>
          <w:lang w:val="en-GB"/>
        </w:rPr>
        <w:t>L grant</w:t>
      </w:r>
    </w:p>
    <w:p w14:paraId="667BDEC4" w14:textId="21B0CEB8" w:rsidR="00AF5A79" w:rsidRPr="00766E2E" w:rsidRDefault="00AF5A79">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Pr="00C50DD0">
        <w:rPr>
          <w:rFonts w:ascii="Times New Roman" w:hAnsi="Times New Roman"/>
          <w:sz w:val="20"/>
          <w:szCs w:val="20"/>
          <w:lang w:val="en-GB"/>
        </w:rPr>
        <w:t>ystem information or L3 signalling</w:t>
      </w:r>
    </w:p>
    <w:p w14:paraId="446C4E8C" w14:textId="77777777" w:rsidR="00E769DB" w:rsidRPr="000A64D8" w:rsidRDefault="00E769DB" w:rsidP="00E769DB">
      <w:pPr>
        <w:pStyle w:val="Heading1"/>
        <w:rPr>
          <w:lang w:val="en-US"/>
        </w:rPr>
      </w:pPr>
      <w:r w:rsidRPr="000A64D8">
        <w:rPr>
          <w:lang w:val="en-US"/>
        </w:rPr>
        <w:t>References</w:t>
      </w:r>
    </w:p>
    <w:p w14:paraId="70E96F83" w14:textId="355F70F3" w:rsidR="00D252C3" w:rsidRDefault="00D252C3" w:rsidP="00D252C3">
      <w:pPr>
        <w:numPr>
          <w:ilvl w:val="0"/>
          <w:numId w:val="2"/>
        </w:numPr>
        <w:spacing w:before="100" w:beforeAutospacing="1" w:after="100" w:afterAutospacing="1"/>
        <w:rPr>
          <w:szCs w:val="22"/>
        </w:rPr>
      </w:pPr>
      <w:bookmarkStart w:id="4" w:name="_Ref477859346"/>
      <w:r>
        <w:rPr>
          <w:szCs w:val="22"/>
        </w:rPr>
        <w:t xml:space="preserve">RAN1 </w:t>
      </w:r>
      <w:r w:rsidR="00026CD3">
        <w:rPr>
          <w:szCs w:val="22"/>
        </w:rPr>
        <w:t>AdHoc Jan 2017</w:t>
      </w:r>
      <w:r>
        <w:rPr>
          <w:szCs w:val="22"/>
        </w:rPr>
        <w:t xml:space="preserve"> Chairman’s Notes</w:t>
      </w:r>
      <w:bookmarkEnd w:id="4"/>
      <w:r w:rsidRPr="003D5B67" w:rsidDel="00F80654">
        <w:rPr>
          <w:szCs w:val="22"/>
        </w:rPr>
        <w:t xml:space="preserve"> </w:t>
      </w:r>
    </w:p>
    <w:p w14:paraId="3935C235" w14:textId="75BD1D0D" w:rsidR="003E13D0" w:rsidRPr="003511D8" w:rsidRDefault="00D252C3" w:rsidP="008149C9">
      <w:pPr>
        <w:numPr>
          <w:ilvl w:val="0"/>
          <w:numId w:val="2"/>
        </w:numPr>
        <w:spacing w:before="100" w:beforeAutospacing="1" w:after="100" w:afterAutospacing="1"/>
        <w:rPr>
          <w:szCs w:val="22"/>
        </w:rPr>
      </w:pPr>
      <w:r>
        <w:rPr>
          <w:szCs w:val="22"/>
        </w:rPr>
        <w:t>R1-</w:t>
      </w:r>
      <w:r w:rsidRPr="008149C9">
        <w:rPr>
          <w:szCs w:val="22"/>
        </w:rPr>
        <w:t>1</w:t>
      </w:r>
      <w:r w:rsidR="006D4F72">
        <w:rPr>
          <w:szCs w:val="22"/>
        </w:rPr>
        <w:t>702651</w:t>
      </w:r>
      <w:r w:rsidRPr="008149C9">
        <w:rPr>
          <w:szCs w:val="22"/>
        </w:rPr>
        <w:t>, “</w:t>
      </w:r>
      <w:r w:rsidR="006D4F72" w:rsidRPr="006D4F72">
        <w:rPr>
          <w:szCs w:val="22"/>
        </w:rPr>
        <w:t>NR LTE Coexistence Considerations</w:t>
      </w:r>
      <w:r w:rsidRPr="008149C9">
        <w:rPr>
          <w:szCs w:val="22"/>
        </w:rPr>
        <w:t>”, Qualcomm Incorporated, RAN1 #</w:t>
      </w:r>
      <w:r w:rsidR="006D4F72">
        <w:rPr>
          <w:szCs w:val="22"/>
        </w:rPr>
        <w:t>88</w:t>
      </w:r>
    </w:p>
    <w:sectPr w:rsidR="003E13D0" w:rsidRPr="003511D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1298E" w14:textId="77777777" w:rsidR="00A36C2B" w:rsidRDefault="00A36C2B">
      <w:r>
        <w:separator/>
      </w:r>
    </w:p>
  </w:endnote>
  <w:endnote w:type="continuationSeparator" w:id="0">
    <w:p w14:paraId="58B0D2AF" w14:textId="77777777" w:rsidR="00A36C2B" w:rsidRDefault="00A36C2B">
      <w:r>
        <w:continuationSeparator/>
      </w:r>
    </w:p>
  </w:endnote>
  <w:endnote w:type="continuationNotice" w:id="1">
    <w:p w14:paraId="20198787" w14:textId="77777777" w:rsidR="00A36C2B" w:rsidRDefault="00A36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023D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23D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3CDA3" w14:textId="77777777" w:rsidR="00A36C2B" w:rsidRDefault="00A36C2B">
      <w:r>
        <w:separator/>
      </w:r>
    </w:p>
  </w:footnote>
  <w:footnote w:type="continuationSeparator" w:id="0">
    <w:p w14:paraId="58AE02ED" w14:textId="77777777" w:rsidR="00A36C2B" w:rsidRDefault="00A36C2B">
      <w:r>
        <w:continuationSeparator/>
      </w:r>
    </w:p>
  </w:footnote>
  <w:footnote w:type="continuationNotice" w:id="1">
    <w:p w14:paraId="3F202A11" w14:textId="77777777" w:rsidR="00A36C2B" w:rsidRDefault="00A36C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0846"/>
    <w:multiLevelType w:val="hybridMultilevel"/>
    <w:tmpl w:val="2BEC433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5DC5AC2"/>
    <w:multiLevelType w:val="hybridMultilevel"/>
    <w:tmpl w:val="03DA3DEE"/>
    <w:lvl w:ilvl="0" w:tplc="47723714">
      <w:start w:val="1"/>
      <w:numFmt w:val="bullet"/>
      <w:lvlText w:val="•"/>
      <w:lvlJc w:val="left"/>
      <w:pPr>
        <w:tabs>
          <w:tab w:val="num" w:pos="360"/>
        </w:tabs>
        <w:ind w:left="360" w:hanging="360"/>
      </w:pPr>
      <w:rPr>
        <w:rFonts w:ascii="Arial" w:hAnsi="Arial" w:hint="default"/>
      </w:rPr>
    </w:lvl>
    <w:lvl w:ilvl="1" w:tplc="7C068EE0">
      <w:start w:val="1"/>
      <w:numFmt w:val="bullet"/>
      <w:lvlText w:val="•"/>
      <w:lvlJc w:val="left"/>
      <w:pPr>
        <w:tabs>
          <w:tab w:val="num" w:pos="1080"/>
        </w:tabs>
        <w:ind w:left="1080" w:hanging="360"/>
      </w:pPr>
      <w:rPr>
        <w:rFonts w:ascii="Arial" w:hAnsi="Arial" w:hint="default"/>
      </w:rPr>
    </w:lvl>
    <w:lvl w:ilvl="2" w:tplc="BE9E2580">
      <w:start w:val="259"/>
      <w:numFmt w:val="bullet"/>
      <w:lvlText w:val="•"/>
      <w:lvlJc w:val="left"/>
      <w:pPr>
        <w:tabs>
          <w:tab w:val="num" w:pos="1800"/>
        </w:tabs>
        <w:ind w:left="1800" w:hanging="360"/>
      </w:pPr>
      <w:rPr>
        <w:rFonts w:ascii="Arial" w:hAnsi="Arial" w:hint="default"/>
      </w:rPr>
    </w:lvl>
    <w:lvl w:ilvl="3" w:tplc="FAFC1894" w:tentative="1">
      <w:start w:val="1"/>
      <w:numFmt w:val="bullet"/>
      <w:lvlText w:val="•"/>
      <w:lvlJc w:val="left"/>
      <w:pPr>
        <w:tabs>
          <w:tab w:val="num" w:pos="2520"/>
        </w:tabs>
        <w:ind w:left="2520" w:hanging="360"/>
      </w:pPr>
      <w:rPr>
        <w:rFonts w:ascii="Arial" w:hAnsi="Arial" w:hint="default"/>
      </w:rPr>
    </w:lvl>
    <w:lvl w:ilvl="4" w:tplc="682CC7A4" w:tentative="1">
      <w:start w:val="1"/>
      <w:numFmt w:val="bullet"/>
      <w:lvlText w:val="•"/>
      <w:lvlJc w:val="left"/>
      <w:pPr>
        <w:tabs>
          <w:tab w:val="num" w:pos="3240"/>
        </w:tabs>
        <w:ind w:left="3240" w:hanging="360"/>
      </w:pPr>
      <w:rPr>
        <w:rFonts w:ascii="Arial" w:hAnsi="Arial" w:hint="default"/>
      </w:rPr>
    </w:lvl>
    <w:lvl w:ilvl="5" w:tplc="70E0AB4C" w:tentative="1">
      <w:start w:val="1"/>
      <w:numFmt w:val="bullet"/>
      <w:lvlText w:val="•"/>
      <w:lvlJc w:val="left"/>
      <w:pPr>
        <w:tabs>
          <w:tab w:val="num" w:pos="3960"/>
        </w:tabs>
        <w:ind w:left="3960" w:hanging="360"/>
      </w:pPr>
      <w:rPr>
        <w:rFonts w:ascii="Arial" w:hAnsi="Arial" w:hint="default"/>
      </w:rPr>
    </w:lvl>
    <w:lvl w:ilvl="6" w:tplc="16CABA44" w:tentative="1">
      <w:start w:val="1"/>
      <w:numFmt w:val="bullet"/>
      <w:lvlText w:val="•"/>
      <w:lvlJc w:val="left"/>
      <w:pPr>
        <w:tabs>
          <w:tab w:val="num" w:pos="4680"/>
        </w:tabs>
        <w:ind w:left="4680" w:hanging="360"/>
      </w:pPr>
      <w:rPr>
        <w:rFonts w:ascii="Arial" w:hAnsi="Arial" w:hint="default"/>
      </w:rPr>
    </w:lvl>
    <w:lvl w:ilvl="7" w:tplc="7CBE2022" w:tentative="1">
      <w:start w:val="1"/>
      <w:numFmt w:val="bullet"/>
      <w:lvlText w:val="•"/>
      <w:lvlJc w:val="left"/>
      <w:pPr>
        <w:tabs>
          <w:tab w:val="num" w:pos="5400"/>
        </w:tabs>
        <w:ind w:left="5400" w:hanging="360"/>
      </w:pPr>
      <w:rPr>
        <w:rFonts w:ascii="Arial" w:hAnsi="Arial" w:hint="default"/>
      </w:rPr>
    </w:lvl>
    <w:lvl w:ilvl="8" w:tplc="1368ED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3C2A49"/>
    <w:multiLevelType w:val="hybridMultilevel"/>
    <w:tmpl w:val="DB1C6486"/>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5C514D"/>
    <w:multiLevelType w:val="hybridMultilevel"/>
    <w:tmpl w:val="7B1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6"/>
  </w:num>
  <w:num w:numId="5">
    <w:abstractNumId w:val="5"/>
  </w:num>
  <w:num w:numId="6">
    <w:abstractNumId w:val="9"/>
  </w:num>
  <w:num w:numId="7">
    <w:abstractNumId w:val="10"/>
  </w:num>
  <w:num w:numId="8">
    <w:abstractNumId w:val="1"/>
  </w:num>
  <w:num w:numId="9">
    <w:abstractNumId w:val="33"/>
    <w:lvlOverride w:ilvl="0">
      <w:startOverride w:val="1"/>
    </w:lvlOverride>
  </w:num>
  <w:num w:numId="10">
    <w:abstractNumId w:val="20"/>
  </w:num>
  <w:num w:numId="11">
    <w:abstractNumId w:val="27"/>
  </w:num>
  <w:num w:numId="12">
    <w:abstractNumId w:val="29"/>
  </w:num>
  <w:num w:numId="13">
    <w:abstractNumId w:val="17"/>
  </w:num>
  <w:num w:numId="14">
    <w:abstractNumId w:val="23"/>
  </w:num>
  <w:num w:numId="15">
    <w:abstractNumId w:val="3"/>
  </w:num>
  <w:num w:numId="16">
    <w:abstractNumId w:val="30"/>
  </w:num>
  <w:num w:numId="17">
    <w:abstractNumId w:val="6"/>
  </w:num>
  <w:num w:numId="18">
    <w:abstractNumId w:val="28"/>
  </w:num>
  <w:num w:numId="19">
    <w:abstractNumId w:val="11"/>
  </w:num>
  <w:num w:numId="20">
    <w:abstractNumId w:val="32"/>
  </w:num>
  <w:num w:numId="21">
    <w:abstractNumId w:val="21"/>
  </w:num>
  <w:num w:numId="22">
    <w:abstractNumId w:val="2"/>
  </w:num>
  <w:num w:numId="23">
    <w:abstractNumId w:val="19"/>
  </w:num>
  <w:num w:numId="24">
    <w:abstractNumId w:val="25"/>
  </w:num>
  <w:num w:numId="25">
    <w:abstractNumId w:val="12"/>
  </w:num>
  <w:num w:numId="26">
    <w:abstractNumId w:val="15"/>
  </w:num>
  <w:num w:numId="27">
    <w:abstractNumId w:val="14"/>
  </w:num>
  <w:num w:numId="28">
    <w:abstractNumId w:val="26"/>
  </w:num>
  <w:num w:numId="29">
    <w:abstractNumId w:val="31"/>
  </w:num>
  <w:num w:numId="30">
    <w:abstractNumId w:val="8"/>
  </w:num>
  <w:num w:numId="31">
    <w:abstractNumId w:val="24"/>
  </w:num>
  <w:num w:numId="32">
    <w:abstractNumId w:val="22"/>
  </w:num>
  <w:num w:numId="33">
    <w:abstractNumId w:val="18"/>
  </w:num>
  <w:num w:numId="34">
    <w:abstractNumId w:val="7"/>
  </w:num>
  <w:num w:numId="3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47"/>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CD3"/>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4C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1F9E"/>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703"/>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6D78"/>
    <w:rsid w:val="0017714C"/>
    <w:rsid w:val="0017722E"/>
    <w:rsid w:val="00177482"/>
    <w:rsid w:val="00177711"/>
    <w:rsid w:val="00177A0D"/>
    <w:rsid w:val="00177AC2"/>
    <w:rsid w:val="00177DFF"/>
    <w:rsid w:val="00177EBD"/>
    <w:rsid w:val="0018016C"/>
    <w:rsid w:val="001806A9"/>
    <w:rsid w:val="00180860"/>
    <w:rsid w:val="00180D96"/>
    <w:rsid w:val="00180E60"/>
    <w:rsid w:val="00181094"/>
    <w:rsid w:val="0018173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5D7"/>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D70"/>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37F69"/>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34"/>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5F8A"/>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046"/>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1D8"/>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1B7"/>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6753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22"/>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A30"/>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182"/>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206"/>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277"/>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8E0"/>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75"/>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133"/>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23A"/>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5F7"/>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EE"/>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6BCE"/>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BB8"/>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570"/>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AF1"/>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F72"/>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4E0F"/>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2C"/>
    <w:rsid w:val="006F20A6"/>
    <w:rsid w:val="006F291E"/>
    <w:rsid w:val="006F3052"/>
    <w:rsid w:val="006F314D"/>
    <w:rsid w:val="006F3B01"/>
    <w:rsid w:val="006F3C66"/>
    <w:rsid w:val="006F3D10"/>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DF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63"/>
    <w:rsid w:val="00765098"/>
    <w:rsid w:val="007650A8"/>
    <w:rsid w:val="0076539C"/>
    <w:rsid w:val="00765832"/>
    <w:rsid w:val="00765FDC"/>
    <w:rsid w:val="007663A3"/>
    <w:rsid w:val="00766559"/>
    <w:rsid w:val="007669EF"/>
    <w:rsid w:val="00766B0E"/>
    <w:rsid w:val="00766BFB"/>
    <w:rsid w:val="00766E2E"/>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D2E"/>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0E7C"/>
    <w:rsid w:val="007A1189"/>
    <w:rsid w:val="007A15BA"/>
    <w:rsid w:val="007A16E9"/>
    <w:rsid w:val="007A1B63"/>
    <w:rsid w:val="007A22D6"/>
    <w:rsid w:val="007A2BFF"/>
    <w:rsid w:val="007A2D56"/>
    <w:rsid w:val="007A32E9"/>
    <w:rsid w:val="007A3395"/>
    <w:rsid w:val="007A3505"/>
    <w:rsid w:val="007A3BF2"/>
    <w:rsid w:val="007A4338"/>
    <w:rsid w:val="007A4A51"/>
    <w:rsid w:val="007A4AF1"/>
    <w:rsid w:val="007A5288"/>
    <w:rsid w:val="007A5C80"/>
    <w:rsid w:val="007A5EA1"/>
    <w:rsid w:val="007A5F87"/>
    <w:rsid w:val="007A6053"/>
    <w:rsid w:val="007A618D"/>
    <w:rsid w:val="007A6256"/>
    <w:rsid w:val="007A6333"/>
    <w:rsid w:val="007A6477"/>
    <w:rsid w:val="007A650C"/>
    <w:rsid w:val="007A6909"/>
    <w:rsid w:val="007A6A76"/>
    <w:rsid w:val="007A6D83"/>
    <w:rsid w:val="007A7228"/>
    <w:rsid w:val="007A738E"/>
    <w:rsid w:val="007A75A3"/>
    <w:rsid w:val="007A7AD5"/>
    <w:rsid w:val="007A7DB8"/>
    <w:rsid w:val="007B0253"/>
    <w:rsid w:val="007B073B"/>
    <w:rsid w:val="007B1061"/>
    <w:rsid w:val="007B19CC"/>
    <w:rsid w:val="007B1F9A"/>
    <w:rsid w:val="007B2074"/>
    <w:rsid w:val="007B2638"/>
    <w:rsid w:val="007B2BB1"/>
    <w:rsid w:val="007B3092"/>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30D"/>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09"/>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E2"/>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30"/>
    <w:rsid w:val="00810EAE"/>
    <w:rsid w:val="00811036"/>
    <w:rsid w:val="00812027"/>
    <w:rsid w:val="008123D5"/>
    <w:rsid w:val="008124FE"/>
    <w:rsid w:val="008127B0"/>
    <w:rsid w:val="00812FE3"/>
    <w:rsid w:val="00813BB0"/>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3D2"/>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1BC"/>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7A"/>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A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F05"/>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0D1"/>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561"/>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630"/>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2D8"/>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48"/>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A7C"/>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406"/>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69"/>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99D"/>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16"/>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BCA"/>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5ED0"/>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C2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6E15"/>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1E65"/>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747"/>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A7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1"/>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164"/>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D68"/>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2F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8F"/>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720"/>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BB8"/>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3D3"/>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0DD0"/>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1AC"/>
    <w:rsid w:val="00C8198E"/>
    <w:rsid w:val="00C81B30"/>
    <w:rsid w:val="00C8220B"/>
    <w:rsid w:val="00C82387"/>
    <w:rsid w:val="00C823D0"/>
    <w:rsid w:val="00C830A2"/>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5CE6"/>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051"/>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D8B"/>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771"/>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3D2"/>
    <w:rsid w:val="00D02AFC"/>
    <w:rsid w:val="00D02C36"/>
    <w:rsid w:val="00D02E17"/>
    <w:rsid w:val="00D02F2F"/>
    <w:rsid w:val="00D0321D"/>
    <w:rsid w:val="00D04A63"/>
    <w:rsid w:val="00D04FC8"/>
    <w:rsid w:val="00D050BA"/>
    <w:rsid w:val="00D05666"/>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2C3"/>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CED"/>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422"/>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AB6"/>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677"/>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BD5"/>
    <w:rsid w:val="00DA5CA9"/>
    <w:rsid w:val="00DA5E7E"/>
    <w:rsid w:val="00DA714A"/>
    <w:rsid w:val="00DA71AF"/>
    <w:rsid w:val="00DA727D"/>
    <w:rsid w:val="00DA7A85"/>
    <w:rsid w:val="00DA7AA3"/>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CEE"/>
    <w:rsid w:val="00DB3D0B"/>
    <w:rsid w:val="00DB3D52"/>
    <w:rsid w:val="00DB42C3"/>
    <w:rsid w:val="00DB4322"/>
    <w:rsid w:val="00DB452C"/>
    <w:rsid w:val="00DB4F9D"/>
    <w:rsid w:val="00DB55D1"/>
    <w:rsid w:val="00DB5799"/>
    <w:rsid w:val="00DB5A21"/>
    <w:rsid w:val="00DB5DEB"/>
    <w:rsid w:val="00DB5EE5"/>
    <w:rsid w:val="00DB6681"/>
    <w:rsid w:val="00DB69E4"/>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74A"/>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F88"/>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3D9"/>
    <w:rsid w:val="00EA1B4A"/>
    <w:rsid w:val="00EA1CC1"/>
    <w:rsid w:val="00EA2271"/>
    <w:rsid w:val="00EA2585"/>
    <w:rsid w:val="00EA2730"/>
    <w:rsid w:val="00EA3641"/>
    <w:rsid w:val="00EA3D67"/>
    <w:rsid w:val="00EA3DB9"/>
    <w:rsid w:val="00EA475F"/>
    <w:rsid w:val="00EA4976"/>
    <w:rsid w:val="00EA4A36"/>
    <w:rsid w:val="00EA4F15"/>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28"/>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3F3E"/>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07FBC"/>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4C1E"/>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0D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4A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531"/>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510"/>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04B"/>
    <w:rsid w:val="00F951BD"/>
    <w:rsid w:val="00F9590D"/>
    <w:rsid w:val="00F95F13"/>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99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HR33RHYHUWRF-4-2230</_dlc_DocId>
    <_dlc_DocIdUrl xmlns="c06861ca-3f08-4d07-bff7-bb15bac121f4">
      <Url>https://projects.qualcomm.com/sites/pentari/_layouts/15/DocIdRedir.aspx?ID=HR33RHYHUWRF-4-2230</Url>
      <Description>HR33RHYHUWRF-4-2230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894CE02-6FFB-42B4-BCDF-17A944E0F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1668</TotalTime>
  <Pages>4</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10354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Haitong</cp:lastModifiedBy>
  <cp:revision>80</cp:revision>
  <cp:lastPrinted>2014-11-07T05:38:00Z</cp:lastPrinted>
  <dcterms:created xsi:type="dcterms:W3CDTF">2017-01-10T04:30:00Z</dcterms:created>
  <dcterms:modified xsi:type="dcterms:W3CDTF">2017-03-25T04:30:00Z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d351fa5e-dee1-480c-ae01-81c2cc402bce</vt:lpwstr>
  </property>
</Properties>
</file>